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10B" w:rsidRPr="00AD2139" w:rsidRDefault="00761A12" w:rsidP="00A6535C">
      <w:pPr>
        <w:spacing w:before="0" w:line="240" w:lineRule="auto"/>
        <w:jc w:val="center"/>
        <w:rPr>
          <w:rFonts w:ascii="Arial" w:hAnsi="Arial" w:cs="Arial"/>
          <w:b/>
          <w:sz w:val="30"/>
          <w:szCs w:val="30"/>
        </w:rPr>
      </w:pPr>
      <w:r w:rsidRPr="00AD2139">
        <w:rPr>
          <w:rFonts w:ascii="Arial" w:hAnsi="Arial" w:cs="Arial"/>
          <w:b/>
          <w:sz w:val="30"/>
          <w:szCs w:val="30"/>
        </w:rPr>
        <w:t xml:space="preserve">NGHIÊN CỨU </w:t>
      </w:r>
      <w:r w:rsidR="007C2DDD" w:rsidRPr="00AD2139">
        <w:rPr>
          <w:rFonts w:ascii="Arial" w:hAnsi="Arial" w:cs="Arial"/>
          <w:b/>
          <w:sz w:val="30"/>
          <w:szCs w:val="30"/>
        </w:rPr>
        <w:t xml:space="preserve">CHẾ TẠO VÀ CÁC TÍNH CHẤT CỦA </w:t>
      </w:r>
    </w:p>
    <w:p w:rsidR="00605EDA" w:rsidRPr="00AD2139" w:rsidRDefault="00761A12" w:rsidP="00A6535C">
      <w:pPr>
        <w:spacing w:before="0" w:line="240" w:lineRule="auto"/>
        <w:jc w:val="center"/>
        <w:rPr>
          <w:rFonts w:ascii="Arial" w:hAnsi="Arial" w:cs="Arial"/>
          <w:b/>
          <w:sz w:val="30"/>
          <w:szCs w:val="30"/>
        </w:rPr>
      </w:pPr>
      <w:r w:rsidRPr="00AD2139">
        <w:rPr>
          <w:rFonts w:ascii="Arial" w:hAnsi="Arial" w:cs="Arial"/>
          <w:b/>
          <w:sz w:val="30"/>
          <w:szCs w:val="30"/>
        </w:rPr>
        <w:t>GẠCH KHÔNG NUNG</w:t>
      </w:r>
      <w:r w:rsidR="00033540" w:rsidRPr="00AD2139">
        <w:rPr>
          <w:rFonts w:ascii="Arial" w:hAnsi="Arial" w:cs="Arial"/>
          <w:b/>
          <w:sz w:val="30"/>
          <w:szCs w:val="30"/>
        </w:rPr>
        <w:t xml:space="preserve"> GEOPOLYMER</w:t>
      </w:r>
      <w:r w:rsidRPr="00AD2139">
        <w:rPr>
          <w:rFonts w:ascii="Arial" w:hAnsi="Arial" w:cs="Arial"/>
          <w:b/>
          <w:sz w:val="30"/>
          <w:szCs w:val="30"/>
        </w:rPr>
        <w:t xml:space="preserve"> </w:t>
      </w:r>
      <w:r w:rsidR="004C6E56" w:rsidRPr="00AD2139">
        <w:rPr>
          <w:rFonts w:ascii="Arial" w:hAnsi="Arial" w:cs="Arial"/>
          <w:b/>
          <w:sz w:val="30"/>
          <w:szCs w:val="30"/>
        </w:rPr>
        <w:t>SỬ DỤNG</w:t>
      </w:r>
      <w:r w:rsidRPr="00AD2139">
        <w:rPr>
          <w:rFonts w:ascii="Arial" w:hAnsi="Arial" w:cs="Arial"/>
          <w:b/>
          <w:sz w:val="30"/>
          <w:szCs w:val="30"/>
        </w:rPr>
        <w:t xml:space="preserve"> BÙN ĐỎ</w:t>
      </w:r>
    </w:p>
    <w:p w:rsidR="00AA656B" w:rsidRPr="00AD2139" w:rsidRDefault="00AA656B" w:rsidP="00A6535C">
      <w:pPr>
        <w:spacing w:before="0" w:line="240" w:lineRule="auto"/>
        <w:jc w:val="both"/>
        <w:rPr>
          <w:rFonts w:ascii="Arial" w:hAnsi="Arial" w:cs="Arial"/>
          <w:sz w:val="30"/>
          <w:szCs w:val="30"/>
        </w:rPr>
      </w:pPr>
    </w:p>
    <w:p w:rsidR="00AD2A34" w:rsidRPr="00AD2139" w:rsidRDefault="0066787F" w:rsidP="00A6535C">
      <w:pPr>
        <w:spacing w:before="0" w:line="240" w:lineRule="auto"/>
        <w:jc w:val="both"/>
        <w:rPr>
          <w:rFonts w:ascii="Arial" w:hAnsi="Arial" w:cs="Arial"/>
          <w:b/>
          <w:sz w:val="24"/>
          <w:szCs w:val="24"/>
        </w:rPr>
      </w:pPr>
      <w:r w:rsidRPr="00AD2139">
        <w:rPr>
          <w:rFonts w:ascii="Arial" w:hAnsi="Arial" w:cs="Arial"/>
          <w:sz w:val="24"/>
          <w:szCs w:val="24"/>
        </w:rPr>
        <w:t xml:space="preserve">TS. </w:t>
      </w:r>
      <w:r w:rsidR="00A6535C" w:rsidRPr="00AD2139">
        <w:rPr>
          <w:rFonts w:ascii="Arial" w:hAnsi="Arial" w:cs="Arial"/>
          <w:b/>
          <w:sz w:val="24"/>
          <w:szCs w:val="24"/>
        </w:rPr>
        <w:t>HOÀNG MINH ĐỨC</w:t>
      </w:r>
      <w:r w:rsidR="00AD2A34" w:rsidRPr="00AD2139">
        <w:rPr>
          <w:rFonts w:ascii="Arial" w:hAnsi="Arial" w:cs="Arial"/>
          <w:sz w:val="24"/>
          <w:szCs w:val="24"/>
        </w:rPr>
        <w:t xml:space="preserve">, TS. </w:t>
      </w:r>
      <w:r w:rsidR="00A6535C" w:rsidRPr="00AD2139">
        <w:rPr>
          <w:rFonts w:ascii="Arial" w:hAnsi="Arial" w:cs="Arial"/>
          <w:b/>
          <w:sz w:val="24"/>
          <w:szCs w:val="24"/>
        </w:rPr>
        <w:t>LÊ PHƯỢNG LY</w:t>
      </w:r>
      <w:r w:rsidR="00AD2A34" w:rsidRPr="00AD2139">
        <w:rPr>
          <w:rFonts w:ascii="Arial" w:hAnsi="Arial" w:cs="Arial"/>
          <w:sz w:val="24"/>
          <w:szCs w:val="24"/>
        </w:rPr>
        <w:t xml:space="preserve">, ThS. </w:t>
      </w:r>
      <w:r w:rsidR="00E936D0" w:rsidRPr="00AD2139">
        <w:rPr>
          <w:rFonts w:ascii="Arial" w:hAnsi="Arial" w:cs="Arial"/>
          <w:b/>
          <w:sz w:val="24"/>
          <w:szCs w:val="24"/>
        </w:rPr>
        <w:t>ĐOÀN</w:t>
      </w:r>
      <w:r w:rsidR="00045AC1">
        <w:rPr>
          <w:rFonts w:ascii="Arial" w:hAnsi="Arial" w:cs="Arial"/>
          <w:b/>
          <w:sz w:val="24"/>
          <w:szCs w:val="24"/>
        </w:rPr>
        <w:t xml:space="preserve"> THỊ</w:t>
      </w:r>
      <w:r w:rsidR="00E936D0" w:rsidRPr="00AD2139">
        <w:rPr>
          <w:rFonts w:ascii="Arial" w:hAnsi="Arial" w:cs="Arial"/>
          <w:b/>
          <w:sz w:val="24"/>
          <w:szCs w:val="24"/>
        </w:rPr>
        <w:t xml:space="preserve"> THU LƯƠNG</w:t>
      </w:r>
    </w:p>
    <w:p w:rsidR="0066787F" w:rsidRPr="00AD2139" w:rsidRDefault="0066787F" w:rsidP="00A6535C">
      <w:pPr>
        <w:spacing w:before="0" w:line="240" w:lineRule="auto"/>
        <w:jc w:val="both"/>
        <w:rPr>
          <w:rFonts w:ascii="Arial" w:hAnsi="Arial" w:cs="Arial"/>
          <w:sz w:val="24"/>
          <w:szCs w:val="24"/>
        </w:rPr>
      </w:pPr>
      <w:r w:rsidRPr="00AD2139">
        <w:rPr>
          <w:rFonts w:ascii="Arial" w:hAnsi="Arial" w:cs="Arial"/>
          <w:sz w:val="24"/>
          <w:szCs w:val="24"/>
        </w:rPr>
        <w:t>Viện KHCN Xây dựng</w:t>
      </w:r>
    </w:p>
    <w:p w:rsidR="00AD2A34" w:rsidRPr="00AD2139" w:rsidRDefault="00AD2A34" w:rsidP="00A6535C">
      <w:pPr>
        <w:spacing w:before="0" w:line="240" w:lineRule="auto"/>
        <w:jc w:val="both"/>
        <w:rPr>
          <w:rFonts w:ascii="Arial" w:hAnsi="Arial" w:cs="Arial"/>
          <w:b/>
          <w:sz w:val="24"/>
          <w:szCs w:val="24"/>
        </w:rPr>
      </w:pPr>
      <w:r w:rsidRPr="00AD2139">
        <w:rPr>
          <w:rFonts w:ascii="Arial" w:hAnsi="Arial" w:cs="Arial"/>
          <w:sz w:val="24"/>
          <w:szCs w:val="24"/>
        </w:rPr>
        <w:t xml:space="preserve">TS. </w:t>
      </w:r>
      <w:r w:rsidR="00B577B2" w:rsidRPr="00AD2139">
        <w:rPr>
          <w:rFonts w:ascii="Arial" w:hAnsi="Arial" w:cs="Arial"/>
          <w:b/>
          <w:sz w:val="24"/>
          <w:szCs w:val="24"/>
        </w:rPr>
        <w:t>LÊ VĂN QUANG</w:t>
      </w:r>
    </w:p>
    <w:p w:rsidR="00AD2A34" w:rsidRPr="00AD2139" w:rsidRDefault="00AD2A34" w:rsidP="00A6535C">
      <w:pPr>
        <w:spacing w:before="0" w:line="240" w:lineRule="auto"/>
        <w:jc w:val="both"/>
        <w:rPr>
          <w:rFonts w:ascii="Arial" w:hAnsi="Arial" w:cs="Arial"/>
          <w:sz w:val="24"/>
          <w:szCs w:val="24"/>
        </w:rPr>
      </w:pPr>
      <w:r w:rsidRPr="00AD2139">
        <w:rPr>
          <w:rFonts w:ascii="Arial" w:hAnsi="Arial" w:cs="Arial"/>
          <w:sz w:val="24"/>
          <w:szCs w:val="24"/>
        </w:rPr>
        <w:t>Viện Vật liệu Xây dựng</w:t>
      </w:r>
    </w:p>
    <w:p w:rsidR="0068577C" w:rsidRPr="00AD2139" w:rsidRDefault="0068577C" w:rsidP="00A6535C">
      <w:pPr>
        <w:spacing w:before="0" w:line="240" w:lineRule="auto"/>
        <w:jc w:val="both"/>
        <w:rPr>
          <w:rFonts w:ascii="Arial" w:hAnsi="Arial" w:cs="Arial"/>
          <w:sz w:val="24"/>
          <w:szCs w:val="24"/>
        </w:rPr>
      </w:pPr>
    </w:p>
    <w:p w:rsidR="00B577B2" w:rsidRPr="00AD2139" w:rsidRDefault="00B577B2" w:rsidP="00A6535C">
      <w:pPr>
        <w:spacing w:before="0" w:line="240" w:lineRule="auto"/>
        <w:jc w:val="both"/>
        <w:rPr>
          <w:rFonts w:ascii="Arial" w:hAnsi="Arial" w:cs="Arial"/>
          <w:b/>
          <w:sz w:val="20"/>
          <w:szCs w:val="20"/>
        </w:rPr>
        <w:sectPr w:rsidR="00B577B2" w:rsidRPr="00AD2139" w:rsidSect="006825C0">
          <w:headerReference w:type="even" r:id="rId7"/>
          <w:headerReference w:type="default" r:id="rId8"/>
          <w:footerReference w:type="even" r:id="rId9"/>
          <w:footerReference w:type="default" r:id="rId10"/>
          <w:pgSz w:w="11907" w:h="16840" w:code="9"/>
          <w:pgMar w:top="1134" w:right="851" w:bottom="1134" w:left="1418" w:header="720" w:footer="720" w:gutter="0"/>
          <w:pgNumType w:start="44"/>
          <w:cols w:space="708"/>
          <w:docGrid w:linePitch="360"/>
        </w:sectPr>
      </w:pPr>
    </w:p>
    <w:p w:rsidR="00AC7CC5" w:rsidRPr="00AD2139" w:rsidRDefault="00DD0F00" w:rsidP="00B577B2">
      <w:pPr>
        <w:spacing w:before="0" w:after="120" w:line="300" w:lineRule="exact"/>
        <w:ind w:firstLine="340"/>
        <w:jc w:val="both"/>
        <w:rPr>
          <w:rFonts w:ascii="Arial" w:hAnsi="Arial" w:cs="Arial"/>
          <w:i/>
          <w:sz w:val="20"/>
          <w:szCs w:val="20"/>
        </w:rPr>
      </w:pPr>
      <w:r w:rsidRPr="00AD2139">
        <w:rPr>
          <w:rFonts w:ascii="Arial" w:hAnsi="Arial" w:cs="Arial"/>
          <w:sz w:val="20"/>
          <w:szCs w:val="20"/>
        </w:rPr>
        <w:lastRenderedPageBreak/>
        <w:t xml:space="preserve">Tóm tắt: </w:t>
      </w:r>
      <w:r w:rsidR="0066774A" w:rsidRPr="00AD2139">
        <w:rPr>
          <w:rFonts w:ascii="Arial" w:hAnsi="Arial" w:cs="Arial"/>
          <w:i/>
          <w:sz w:val="20"/>
          <w:szCs w:val="20"/>
        </w:rPr>
        <w:t xml:space="preserve">Xử lý phế thải bùn đỏ của nhà máy sản xuất alumin từ bô xit </w:t>
      </w:r>
      <w:proofErr w:type="gramStart"/>
      <w:r w:rsidR="0066774A" w:rsidRPr="00AD2139">
        <w:rPr>
          <w:rFonts w:ascii="Arial" w:hAnsi="Arial" w:cs="Arial"/>
          <w:i/>
          <w:sz w:val="20"/>
          <w:szCs w:val="20"/>
        </w:rPr>
        <w:t>theo</w:t>
      </w:r>
      <w:proofErr w:type="gramEnd"/>
      <w:r w:rsidR="0066774A" w:rsidRPr="00AD2139">
        <w:rPr>
          <w:rFonts w:ascii="Arial" w:hAnsi="Arial" w:cs="Arial"/>
          <w:i/>
          <w:sz w:val="20"/>
          <w:szCs w:val="20"/>
        </w:rPr>
        <w:t xml:space="preserve"> công nghệ Bayer đang là vấn đề có tính thời sự ở nước ta nhằm đảm bảo các vấn đề môi trường, xã hội. Bài báo này trình bày hướng sử dụng bùn đỏ làm gạch không nung geopolymer </w:t>
      </w:r>
      <w:proofErr w:type="gramStart"/>
      <w:r w:rsidR="0066774A" w:rsidRPr="00AD2139">
        <w:rPr>
          <w:rFonts w:ascii="Arial" w:hAnsi="Arial" w:cs="Arial"/>
          <w:i/>
          <w:sz w:val="20"/>
          <w:szCs w:val="20"/>
        </w:rPr>
        <w:t>theo</w:t>
      </w:r>
      <w:proofErr w:type="gramEnd"/>
      <w:r w:rsidR="0066774A" w:rsidRPr="00AD2139">
        <w:rPr>
          <w:rFonts w:ascii="Arial" w:hAnsi="Arial" w:cs="Arial"/>
          <w:i/>
          <w:sz w:val="20"/>
          <w:szCs w:val="20"/>
        </w:rPr>
        <w:t xml:space="preserve"> công nghệ chưng áp và các </w:t>
      </w:r>
      <w:r w:rsidR="007C2DDD" w:rsidRPr="00AD2139">
        <w:rPr>
          <w:rFonts w:ascii="Arial" w:hAnsi="Arial" w:cs="Arial"/>
          <w:i/>
          <w:sz w:val="20"/>
          <w:szCs w:val="20"/>
        </w:rPr>
        <w:t>tính chất kỹ thuật của</w:t>
      </w:r>
      <w:r w:rsidR="0066774A" w:rsidRPr="00AD2139">
        <w:rPr>
          <w:rFonts w:ascii="Arial" w:hAnsi="Arial" w:cs="Arial"/>
          <w:i/>
          <w:sz w:val="20"/>
          <w:szCs w:val="20"/>
        </w:rPr>
        <w:t xml:space="preserve"> loại gạch này. Các kết quả nghiên cứu cho thấy gạch không nung geopolymer sử dụng bùn đỏ</w:t>
      </w:r>
      <w:r w:rsidR="003378F2" w:rsidRPr="00AD2139">
        <w:rPr>
          <w:rFonts w:ascii="Arial" w:hAnsi="Arial" w:cs="Arial"/>
          <w:i/>
          <w:sz w:val="20"/>
          <w:szCs w:val="20"/>
        </w:rPr>
        <w:t xml:space="preserve">, tạo hình bằng phương pháp ép bán khô hoặc đùn dẻo, gia công nhiệt bằng </w:t>
      </w:r>
      <w:r w:rsidR="0066774A" w:rsidRPr="00AD2139">
        <w:rPr>
          <w:rFonts w:ascii="Arial" w:hAnsi="Arial" w:cs="Arial"/>
          <w:i/>
          <w:sz w:val="20"/>
          <w:szCs w:val="20"/>
        </w:rPr>
        <w:t xml:space="preserve">chưng áp </w:t>
      </w:r>
      <w:r w:rsidR="003378F2" w:rsidRPr="00AD2139">
        <w:rPr>
          <w:rFonts w:ascii="Arial" w:hAnsi="Arial" w:cs="Arial"/>
          <w:i/>
          <w:sz w:val="20"/>
          <w:szCs w:val="20"/>
        </w:rPr>
        <w:t>đạt cường độ từ 6</w:t>
      </w:r>
      <w:proofErr w:type="gramStart"/>
      <w:r w:rsidR="003378F2" w:rsidRPr="00AD2139">
        <w:rPr>
          <w:rFonts w:ascii="Arial" w:hAnsi="Arial" w:cs="Arial"/>
          <w:i/>
          <w:sz w:val="20"/>
          <w:szCs w:val="20"/>
        </w:rPr>
        <w:t>,8</w:t>
      </w:r>
      <w:proofErr w:type="gramEnd"/>
      <w:r w:rsidR="003378F2" w:rsidRPr="00AD2139">
        <w:rPr>
          <w:rFonts w:ascii="Arial" w:hAnsi="Arial" w:cs="Arial"/>
          <w:i/>
          <w:sz w:val="20"/>
          <w:szCs w:val="20"/>
        </w:rPr>
        <w:t xml:space="preserve"> MPa đến 12,5 MPa, hệ số hóa mềm lớn hơn 0,82, giá trị pH nhỏ hơn 9,5</w:t>
      </w:r>
      <w:r w:rsidR="0066774A" w:rsidRPr="00AD2139">
        <w:rPr>
          <w:rFonts w:ascii="Arial" w:hAnsi="Arial" w:cs="Arial"/>
          <w:i/>
          <w:sz w:val="20"/>
          <w:szCs w:val="20"/>
        </w:rPr>
        <w:t xml:space="preserve">, </w:t>
      </w:r>
      <w:r w:rsidR="003378F2" w:rsidRPr="00AD2139">
        <w:rPr>
          <w:rFonts w:ascii="Arial" w:hAnsi="Arial" w:cs="Arial"/>
          <w:i/>
          <w:sz w:val="20"/>
          <w:szCs w:val="20"/>
        </w:rPr>
        <w:t xml:space="preserve">thân thiện với môi trường, </w:t>
      </w:r>
      <w:r w:rsidR="0066774A" w:rsidRPr="00AD2139">
        <w:rPr>
          <w:rFonts w:ascii="Arial" w:hAnsi="Arial" w:cs="Arial"/>
          <w:i/>
          <w:sz w:val="20"/>
          <w:szCs w:val="20"/>
        </w:rPr>
        <w:t xml:space="preserve">có thể sử dụng </w:t>
      </w:r>
      <w:r w:rsidR="003378F2" w:rsidRPr="00AD2139">
        <w:rPr>
          <w:rFonts w:ascii="Arial" w:hAnsi="Arial" w:cs="Arial"/>
          <w:i/>
          <w:sz w:val="20"/>
          <w:szCs w:val="20"/>
        </w:rPr>
        <w:t xml:space="preserve">làm khối xây </w:t>
      </w:r>
      <w:r w:rsidR="0066774A" w:rsidRPr="00AD2139">
        <w:rPr>
          <w:rFonts w:ascii="Arial" w:hAnsi="Arial" w:cs="Arial"/>
          <w:i/>
          <w:sz w:val="20"/>
          <w:szCs w:val="20"/>
        </w:rPr>
        <w:t>trong</w:t>
      </w:r>
      <w:r w:rsidR="003378F2" w:rsidRPr="00AD2139">
        <w:rPr>
          <w:rFonts w:ascii="Arial" w:hAnsi="Arial" w:cs="Arial"/>
          <w:i/>
          <w:sz w:val="20"/>
          <w:szCs w:val="20"/>
        </w:rPr>
        <w:t xml:space="preserve"> các</w:t>
      </w:r>
      <w:r w:rsidR="0066774A" w:rsidRPr="00AD2139">
        <w:rPr>
          <w:rFonts w:ascii="Arial" w:hAnsi="Arial" w:cs="Arial"/>
          <w:i/>
          <w:sz w:val="20"/>
          <w:szCs w:val="20"/>
        </w:rPr>
        <w:t xml:space="preserve"> công trình xây dự</w:t>
      </w:r>
      <w:r w:rsidR="003378F2" w:rsidRPr="00AD2139">
        <w:rPr>
          <w:rFonts w:ascii="Arial" w:hAnsi="Arial" w:cs="Arial"/>
          <w:i/>
          <w:sz w:val="20"/>
          <w:szCs w:val="20"/>
        </w:rPr>
        <w:t xml:space="preserve">ng.  </w:t>
      </w:r>
      <w:r w:rsidR="0066774A" w:rsidRPr="00AD2139">
        <w:rPr>
          <w:rFonts w:ascii="Arial" w:hAnsi="Arial" w:cs="Arial"/>
          <w:i/>
          <w:sz w:val="20"/>
          <w:szCs w:val="20"/>
        </w:rPr>
        <w:t xml:space="preserve">  </w:t>
      </w:r>
    </w:p>
    <w:p w:rsidR="00DD0F00" w:rsidRPr="00AD2139" w:rsidRDefault="00DD0F00" w:rsidP="00B577B2">
      <w:pPr>
        <w:spacing w:before="0" w:after="120" w:line="300" w:lineRule="exact"/>
        <w:ind w:firstLine="340"/>
        <w:jc w:val="both"/>
        <w:rPr>
          <w:rFonts w:ascii="Arial" w:hAnsi="Arial" w:cs="Arial"/>
          <w:i/>
          <w:sz w:val="20"/>
          <w:szCs w:val="20"/>
        </w:rPr>
      </w:pPr>
      <w:r w:rsidRPr="00AD2139">
        <w:rPr>
          <w:rFonts w:ascii="Arial" w:hAnsi="Arial" w:cs="Arial"/>
          <w:sz w:val="20"/>
          <w:szCs w:val="20"/>
        </w:rPr>
        <w:t>Từ khóa</w:t>
      </w:r>
      <w:r w:rsidR="0066774A" w:rsidRPr="00AD2139">
        <w:rPr>
          <w:rFonts w:ascii="Arial" w:hAnsi="Arial" w:cs="Arial"/>
          <w:sz w:val="20"/>
          <w:szCs w:val="20"/>
        </w:rPr>
        <w:t xml:space="preserve">: </w:t>
      </w:r>
      <w:r w:rsidR="0066774A" w:rsidRPr="00AD2139">
        <w:rPr>
          <w:rFonts w:ascii="Arial" w:hAnsi="Arial" w:cs="Arial"/>
          <w:i/>
          <w:sz w:val="20"/>
          <w:szCs w:val="20"/>
        </w:rPr>
        <w:t>Bùn đỏ, geopolymer, gạch không nung, cường độ, hệ số hóa mềm, pH</w:t>
      </w:r>
    </w:p>
    <w:p w:rsidR="00D522AF" w:rsidRPr="00AD2139" w:rsidRDefault="00DD0F00" w:rsidP="00B577B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300" w:lineRule="exact"/>
        <w:ind w:firstLine="340"/>
        <w:jc w:val="both"/>
        <w:rPr>
          <w:rFonts w:ascii="Arial" w:hAnsi="Arial" w:cs="Arial"/>
          <w:i/>
        </w:rPr>
      </w:pPr>
      <w:r w:rsidRPr="00AD2139">
        <w:rPr>
          <w:rFonts w:ascii="Arial" w:hAnsi="Arial" w:cs="Arial"/>
        </w:rPr>
        <w:t>Abstract:</w:t>
      </w:r>
      <w:r w:rsidR="003378F2" w:rsidRPr="00AD2139">
        <w:rPr>
          <w:rFonts w:ascii="Arial" w:hAnsi="Arial" w:cs="Arial"/>
        </w:rPr>
        <w:t xml:space="preserve"> </w:t>
      </w:r>
      <w:r w:rsidR="00D522AF" w:rsidRPr="00AD2139">
        <w:rPr>
          <w:rFonts w:ascii="Arial" w:hAnsi="Arial" w:cs="Arial"/>
          <w:i/>
        </w:rPr>
        <w:t xml:space="preserve">Utilization of red mud - industrial waste of alumina producing process from bauxite by Bayer technology is </w:t>
      </w:r>
      <w:proofErr w:type="gramStart"/>
      <w:r w:rsidR="00D522AF" w:rsidRPr="00AD2139">
        <w:rPr>
          <w:rFonts w:ascii="Arial" w:hAnsi="Arial" w:cs="Arial"/>
          <w:i/>
        </w:rPr>
        <w:t>a</w:t>
      </w:r>
      <w:proofErr w:type="gramEnd"/>
      <w:r w:rsidR="00D522AF" w:rsidRPr="00AD2139">
        <w:rPr>
          <w:rFonts w:ascii="Arial" w:hAnsi="Arial" w:cs="Arial"/>
          <w:i/>
        </w:rPr>
        <w:t xml:space="preserve"> actual topic in Vietnam to ensure the environmental and social problems. This article focuses on the application of red mud in production of non-fired autoclaved geopolymer bricks and the technical </w:t>
      </w:r>
      <w:r w:rsidR="007C2DDD" w:rsidRPr="00AD2139">
        <w:rPr>
          <w:rFonts w:ascii="Arial" w:hAnsi="Arial" w:cs="Arial"/>
          <w:i/>
        </w:rPr>
        <w:t>properties</w:t>
      </w:r>
      <w:r w:rsidR="00D522AF" w:rsidRPr="00AD2139">
        <w:rPr>
          <w:rFonts w:ascii="Arial" w:hAnsi="Arial" w:cs="Arial"/>
          <w:i/>
        </w:rPr>
        <w:t xml:space="preserve"> </w:t>
      </w:r>
      <w:r w:rsidR="007C2DDD" w:rsidRPr="00AD2139">
        <w:rPr>
          <w:rFonts w:ascii="Arial" w:hAnsi="Arial" w:cs="Arial"/>
          <w:i/>
        </w:rPr>
        <w:t>of</w:t>
      </w:r>
      <w:r w:rsidR="00D522AF" w:rsidRPr="00AD2139">
        <w:rPr>
          <w:rFonts w:ascii="Arial" w:hAnsi="Arial" w:cs="Arial"/>
          <w:i/>
        </w:rPr>
        <w:t xml:space="preserve"> this type of brick. The research results show that non-fired geopolymer bricks shaped by semi-dry pressing or plastic extrusion, heat-processed by autoclave achieve compressive strength from 6</w:t>
      </w:r>
      <w:proofErr w:type="gramStart"/>
      <w:r w:rsidR="00D522AF" w:rsidRPr="00AD2139">
        <w:rPr>
          <w:rFonts w:ascii="Arial" w:hAnsi="Arial" w:cs="Arial"/>
          <w:i/>
        </w:rPr>
        <w:t>,8</w:t>
      </w:r>
      <w:proofErr w:type="gramEnd"/>
      <w:r w:rsidR="00D522AF" w:rsidRPr="00AD2139">
        <w:rPr>
          <w:rFonts w:ascii="Arial" w:hAnsi="Arial" w:cs="Arial"/>
          <w:i/>
        </w:rPr>
        <w:t xml:space="preserve"> MPa to 12,5 MPa, softening coefficient more than 0,82, pH value less than 9,5. This bricks are environmental-friendly materials and can be used as masonry units for buildings.</w:t>
      </w:r>
    </w:p>
    <w:p w:rsidR="00DD0F00" w:rsidRPr="00AD2139" w:rsidRDefault="00DD0F00" w:rsidP="00B577B2">
      <w:pPr>
        <w:spacing w:before="0" w:after="120" w:line="300" w:lineRule="exact"/>
        <w:ind w:firstLine="340"/>
        <w:jc w:val="both"/>
        <w:rPr>
          <w:rFonts w:ascii="Arial" w:hAnsi="Arial" w:cs="Arial"/>
          <w:i/>
          <w:sz w:val="20"/>
          <w:szCs w:val="20"/>
        </w:rPr>
      </w:pPr>
      <w:r w:rsidRPr="00AD2139">
        <w:rPr>
          <w:rFonts w:ascii="Arial" w:hAnsi="Arial" w:cs="Arial"/>
          <w:sz w:val="20"/>
          <w:szCs w:val="20"/>
        </w:rPr>
        <w:t>Keywords:</w:t>
      </w:r>
      <w:r w:rsidR="0066774A" w:rsidRPr="00AD2139">
        <w:rPr>
          <w:rFonts w:ascii="Arial" w:hAnsi="Arial" w:cs="Arial"/>
          <w:sz w:val="20"/>
          <w:szCs w:val="20"/>
        </w:rPr>
        <w:t xml:space="preserve"> </w:t>
      </w:r>
      <w:r w:rsidR="0066774A" w:rsidRPr="00AD2139">
        <w:rPr>
          <w:rFonts w:ascii="Arial" w:hAnsi="Arial" w:cs="Arial"/>
          <w:i/>
          <w:sz w:val="20"/>
          <w:szCs w:val="20"/>
        </w:rPr>
        <w:t>Red mud, geopolymer, non-fired brick, strength, softening coefficient, pH</w:t>
      </w:r>
    </w:p>
    <w:p w:rsidR="00AC7CC5" w:rsidRPr="00AD2139" w:rsidRDefault="001949E4" w:rsidP="00B577B2">
      <w:pPr>
        <w:spacing w:before="0" w:after="120" w:line="300" w:lineRule="exact"/>
        <w:jc w:val="both"/>
        <w:rPr>
          <w:rFonts w:ascii="Arial" w:hAnsi="Arial" w:cs="Arial"/>
          <w:b/>
          <w:sz w:val="20"/>
          <w:szCs w:val="20"/>
        </w:rPr>
      </w:pPr>
      <w:r w:rsidRPr="00AD2139">
        <w:rPr>
          <w:rFonts w:ascii="Arial" w:hAnsi="Arial" w:cs="Arial"/>
          <w:b/>
          <w:sz w:val="20"/>
          <w:szCs w:val="20"/>
        </w:rPr>
        <w:t>1. Bùn đỏ v</w:t>
      </w:r>
      <w:bookmarkStart w:id="0" w:name="_GoBack"/>
      <w:bookmarkEnd w:id="0"/>
      <w:r w:rsidRPr="00AD2139">
        <w:rPr>
          <w:rFonts w:ascii="Arial" w:hAnsi="Arial" w:cs="Arial"/>
          <w:b/>
          <w:sz w:val="20"/>
          <w:szCs w:val="20"/>
        </w:rPr>
        <w:t>à sử dụng bùn đỏ trong sản xuấ</w:t>
      </w:r>
      <w:r w:rsidR="00033540" w:rsidRPr="00AD2139">
        <w:rPr>
          <w:rFonts w:ascii="Arial" w:hAnsi="Arial" w:cs="Arial"/>
          <w:b/>
          <w:sz w:val="20"/>
          <w:szCs w:val="20"/>
        </w:rPr>
        <w:t>t gạch không nung</w:t>
      </w:r>
    </w:p>
    <w:p w:rsidR="0066787F" w:rsidRPr="00AD2139" w:rsidRDefault="00AC7CC5" w:rsidP="00B577B2">
      <w:pPr>
        <w:spacing w:before="0" w:after="120" w:line="300" w:lineRule="exact"/>
        <w:jc w:val="both"/>
        <w:rPr>
          <w:rFonts w:ascii="Arial" w:hAnsi="Arial" w:cs="Arial"/>
          <w:sz w:val="20"/>
          <w:szCs w:val="20"/>
        </w:rPr>
      </w:pPr>
      <w:r w:rsidRPr="00AD2139">
        <w:rPr>
          <w:rFonts w:ascii="Arial" w:hAnsi="Arial" w:cs="Arial"/>
          <w:sz w:val="20"/>
          <w:szCs w:val="20"/>
        </w:rPr>
        <w:tab/>
      </w:r>
      <w:r w:rsidR="006765A2" w:rsidRPr="00AD2139">
        <w:rPr>
          <w:rFonts w:ascii="Arial" w:hAnsi="Arial" w:cs="Arial"/>
          <w:sz w:val="20"/>
          <w:szCs w:val="20"/>
        </w:rPr>
        <w:t xml:space="preserve">Cho đến nay, hai dự án sản xuất alumin từ bô xit </w:t>
      </w:r>
      <w:proofErr w:type="gramStart"/>
      <w:r w:rsidR="0066774A" w:rsidRPr="00AD2139">
        <w:rPr>
          <w:rFonts w:ascii="Arial" w:hAnsi="Arial" w:cs="Arial"/>
          <w:sz w:val="20"/>
          <w:szCs w:val="20"/>
        </w:rPr>
        <w:t>theo</w:t>
      </w:r>
      <w:proofErr w:type="gramEnd"/>
      <w:r w:rsidR="0066774A" w:rsidRPr="00AD2139">
        <w:rPr>
          <w:rFonts w:ascii="Arial" w:hAnsi="Arial" w:cs="Arial"/>
          <w:sz w:val="20"/>
          <w:szCs w:val="20"/>
        </w:rPr>
        <w:t xml:space="preserve"> công nghệ Bayer </w:t>
      </w:r>
      <w:r w:rsidR="006765A2" w:rsidRPr="00AD2139">
        <w:rPr>
          <w:rFonts w:ascii="Arial" w:hAnsi="Arial" w:cs="Arial"/>
          <w:sz w:val="20"/>
          <w:szCs w:val="20"/>
        </w:rPr>
        <w:t xml:space="preserve">ở Việt Nam là Tân Rai và </w:t>
      </w:r>
      <w:r w:rsidR="006765A2" w:rsidRPr="00AD2139">
        <w:rPr>
          <w:rFonts w:ascii="Arial" w:hAnsi="Arial" w:cs="Arial"/>
          <w:sz w:val="20"/>
          <w:szCs w:val="20"/>
        </w:rPr>
        <w:lastRenderedPageBreak/>
        <w:t>Nhân Cơ đã đi vào sản xuất thương mạ</w:t>
      </w:r>
      <w:r w:rsidR="00BB33CA" w:rsidRPr="00AD2139">
        <w:rPr>
          <w:rFonts w:ascii="Arial" w:hAnsi="Arial" w:cs="Arial"/>
          <w:sz w:val="20"/>
          <w:szCs w:val="20"/>
        </w:rPr>
        <w:t>i với công suất</w:t>
      </w:r>
      <w:r w:rsidR="006765A2" w:rsidRPr="00AD2139">
        <w:rPr>
          <w:rFonts w:ascii="Arial" w:hAnsi="Arial" w:cs="Arial"/>
          <w:sz w:val="20"/>
          <w:szCs w:val="20"/>
        </w:rPr>
        <w:t xml:space="preserve"> đạt và vượt thiết kế</w:t>
      </w:r>
      <w:r w:rsidR="00A34177" w:rsidRPr="00AD2139">
        <w:rPr>
          <w:rFonts w:ascii="Arial" w:hAnsi="Arial" w:cs="Arial"/>
          <w:sz w:val="20"/>
          <w:szCs w:val="20"/>
        </w:rPr>
        <w:t>. S</w:t>
      </w:r>
      <w:r w:rsidR="00854EB8" w:rsidRPr="00AD2139">
        <w:rPr>
          <w:rFonts w:ascii="Arial" w:hAnsi="Arial" w:cs="Arial"/>
          <w:sz w:val="20"/>
          <w:szCs w:val="20"/>
        </w:rPr>
        <w:t>ản phẩm alumin</w:t>
      </w:r>
      <w:r w:rsidR="00BB33CA" w:rsidRPr="00AD2139">
        <w:rPr>
          <w:rFonts w:ascii="Arial" w:hAnsi="Arial" w:cs="Arial"/>
          <w:sz w:val="20"/>
          <w:szCs w:val="20"/>
        </w:rPr>
        <w:t xml:space="preserve"> xuất xưởng</w:t>
      </w:r>
      <w:r w:rsidR="00854EB8" w:rsidRPr="00AD2139">
        <w:rPr>
          <w:rFonts w:ascii="Arial" w:hAnsi="Arial" w:cs="Arial"/>
          <w:sz w:val="20"/>
          <w:szCs w:val="20"/>
        </w:rPr>
        <w:t xml:space="preserve"> có chất lượng tốt. Trên cơ sở các kinh nghiệm </w:t>
      </w:r>
      <w:proofErr w:type="gramStart"/>
      <w:r w:rsidR="00854EB8" w:rsidRPr="00AD2139">
        <w:rPr>
          <w:rFonts w:ascii="Arial" w:hAnsi="Arial" w:cs="Arial"/>
          <w:sz w:val="20"/>
          <w:szCs w:val="20"/>
        </w:rPr>
        <w:t>thu</w:t>
      </w:r>
      <w:proofErr w:type="gramEnd"/>
      <w:r w:rsidR="00854EB8" w:rsidRPr="00AD2139">
        <w:rPr>
          <w:rFonts w:ascii="Arial" w:hAnsi="Arial" w:cs="Arial"/>
          <w:sz w:val="20"/>
          <w:szCs w:val="20"/>
        </w:rPr>
        <w:t xml:space="preserve"> được, nhà nước đang có chủ trương nâng công suất và triển khai thêm các dự án tiếp theo. Tuy nhiên, vấn đề xử lý</w:t>
      </w:r>
      <w:r w:rsidR="0066787F" w:rsidRPr="00AD2139">
        <w:rPr>
          <w:rFonts w:ascii="Arial" w:hAnsi="Arial" w:cs="Arial"/>
          <w:sz w:val="20"/>
          <w:szCs w:val="20"/>
        </w:rPr>
        <w:t xml:space="preserve"> </w:t>
      </w:r>
      <w:r w:rsidR="00A34177" w:rsidRPr="00AD2139">
        <w:rPr>
          <w:rFonts w:ascii="Arial" w:hAnsi="Arial" w:cs="Arial"/>
          <w:sz w:val="20"/>
          <w:szCs w:val="20"/>
        </w:rPr>
        <w:t xml:space="preserve">phế thải của các nhà máy, nhất là </w:t>
      </w:r>
      <w:r w:rsidR="0066787F" w:rsidRPr="00AD2139">
        <w:rPr>
          <w:rFonts w:ascii="Arial" w:hAnsi="Arial" w:cs="Arial"/>
          <w:sz w:val="20"/>
          <w:szCs w:val="20"/>
        </w:rPr>
        <w:t>bùn đỏ</w:t>
      </w:r>
      <w:r w:rsidR="00A34177" w:rsidRPr="00AD2139">
        <w:rPr>
          <w:rFonts w:ascii="Arial" w:hAnsi="Arial" w:cs="Arial"/>
          <w:sz w:val="20"/>
          <w:szCs w:val="20"/>
        </w:rPr>
        <w:t xml:space="preserve"> </w:t>
      </w:r>
      <w:r w:rsidR="00854EB8" w:rsidRPr="00AD2139">
        <w:rPr>
          <w:rFonts w:ascii="Arial" w:hAnsi="Arial" w:cs="Arial"/>
          <w:sz w:val="20"/>
          <w:szCs w:val="20"/>
        </w:rPr>
        <w:t>vẫn đang là thách thức lớn cho sự phát triển bền vững củ</w:t>
      </w:r>
      <w:r w:rsidR="00BB33CA" w:rsidRPr="00AD2139">
        <w:rPr>
          <w:rFonts w:ascii="Arial" w:hAnsi="Arial" w:cs="Arial"/>
          <w:sz w:val="20"/>
          <w:szCs w:val="20"/>
        </w:rPr>
        <w:t xml:space="preserve">a </w:t>
      </w:r>
      <w:r w:rsidR="0066787F" w:rsidRPr="00AD2139">
        <w:rPr>
          <w:rFonts w:ascii="Arial" w:hAnsi="Arial" w:cs="Arial"/>
          <w:sz w:val="20"/>
          <w:szCs w:val="20"/>
        </w:rPr>
        <w:t>ngành sản xuấ</w:t>
      </w:r>
      <w:r w:rsidR="00A34177" w:rsidRPr="00AD2139">
        <w:rPr>
          <w:rFonts w:ascii="Arial" w:hAnsi="Arial" w:cs="Arial"/>
          <w:sz w:val="20"/>
          <w:szCs w:val="20"/>
        </w:rPr>
        <w:t>t này</w:t>
      </w:r>
      <w:r w:rsidR="00BB33CA" w:rsidRPr="00AD2139">
        <w:rPr>
          <w:rFonts w:ascii="Arial" w:hAnsi="Arial" w:cs="Arial"/>
          <w:sz w:val="20"/>
          <w:szCs w:val="20"/>
        </w:rPr>
        <w:t xml:space="preserve">. </w:t>
      </w:r>
    </w:p>
    <w:p w:rsidR="004B0CE4" w:rsidRPr="00AD2139" w:rsidRDefault="0066787F" w:rsidP="00B577B2">
      <w:pPr>
        <w:spacing w:before="0" w:after="120" w:line="300" w:lineRule="exact"/>
        <w:jc w:val="both"/>
        <w:rPr>
          <w:rFonts w:ascii="Arial" w:hAnsi="Arial" w:cs="Arial"/>
          <w:sz w:val="20"/>
          <w:szCs w:val="20"/>
        </w:rPr>
      </w:pPr>
      <w:r w:rsidRPr="00AD2139">
        <w:rPr>
          <w:rFonts w:ascii="Arial" w:hAnsi="Arial" w:cs="Arial"/>
          <w:sz w:val="20"/>
          <w:szCs w:val="20"/>
        </w:rPr>
        <w:tab/>
        <w:t>Bùn đỏ</w:t>
      </w:r>
      <w:r w:rsidR="008524BA" w:rsidRPr="00AD2139">
        <w:rPr>
          <w:rFonts w:ascii="Arial" w:hAnsi="Arial" w:cs="Arial"/>
          <w:sz w:val="20"/>
          <w:szCs w:val="20"/>
        </w:rPr>
        <w:t xml:space="preserve"> là chất thải dạng hạt mịn có thành ph</w:t>
      </w:r>
      <w:r w:rsidR="0064110B" w:rsidRPr="00AD2139">
        <w:rPr>
          <w:rFonts w:ascii="Arial" w:hAnsi="Arial" w:cs="Arial"/>
          <w:sz w:val="20"/>
          <w:szCs w:val="20"/>
        </w:rPr>
        <w:t>ầ</w:t>
      </w:r>
      <w:r w:rsidR="008524BA" w:rsidRPr="00AD2139">
        <w:rPr>
          <w:rFonts w:ascii="Arial" w:hAnsi="Arial" w:cs="Arial"/>
          <w:sz w:val="20"/>
          <w:szCs w:val="20"/>
        </w:rPr>
        <w:t xml:space="preserve">n chủ yếu </w:t>
      </w:r>
      <w:r w:rsidR="00A34177" w:rsidRPr="00AD2139">
        <w:rPr>
          <w:rFonts w:ascii="Arial" w:hAnsi="Arial" w:cs="Arial"/>
          <w:sz w:val="20"/>
          <w:szCs w:val="20"/>
        </w:rPr>
        <w:t>gồm</w:t>
      </w:r>
      <w:r w:rsidR="008524BA" w:rsidRPr="00AD2139">
        <w:rPr>
          <w:rFonts w:ascii="Arial" w:hAnsi="Arial" w:cs="Arial"/>
          <w:sz w:val="20"/>
          <w:szCs w:val="20"/>
        </w:rPr>
        <w:t xml:space="preserve"> Fe</w:t>
      </w:r>
      <w:r w:rsidR="008524BA" w:rsidRPr="00AD2139">
        <w:rPr>
          <w:rFonts w:ascii="Arial" w:hAnsi="Arial" w:cs="Arial"/>
          <w:sz w:val="20"/>
          <w:szCs w:val="20"/>
          <w:vertAlign w:val="subscript"/>
        </w:rPr>
        <w:t>2</w:t>
      </w:r>
      <w:r w:rsidR="008524BA" w:rsidRPr="00AD2139">
        <w:rPr>
          <w:rFonts w:ascii="Arial" w:hAnsi="Arial" w:cs="Arial"/>
          <w:sz w:val="20"/>
          <w:szCs w:val="20"/>
        </w:rPr>
        <w:t>O</w:t>
      </w:r>
      <w:r w:rsidR="008524BA" w:rsidRPr="00AD2139">
        <w:rPr>
          <w:rFonts w:ascii="Arial" w:hAnsi="Arial" w:cs="Arial"/>
          <w:sz w:val="20"/>
          <w:szCs w:val="20"/>
          <w:vertAlign w:val="subscript"/>
        </w:rPr>
        <w:t>3</w:t>
      </w:r>
      <w:r w:rsidR="008524BA" w:rsidRPr="00AD2139">
        <w:rPr>
          <w:rFonts w:ascii="Arial" w:hAnsi="Arial" w:cs="Arial"/>
          <w:sz w:val="20"/>
          <w:szCs w:val="20"/>
        </w:rPr>
        <w:t>, Al</w:t>
      </w:r>
      <w:r w:rsidR="008524BA" w:rsidRPr="00AD2139">
        <w:rPr>
          <w:rFonts w:ascii="Arial" w:hAnsi="Arial" w:cs="Arial"/>
          <w:sz w:val="20"/>
          <w:szCs w:val="20"/>
          <w:vertAlign w:val="subscript"/>
        </w:rPr>
        <w:t>2</w:t>
      </w:r>
      <w:r w:rsidR="008524BA" w:rsidRPr="00AD2139">
        <w:rPr>
          <w:rFonts w:ascii="Arial" w:hAnsi="Arial" w:cs="Arial"/>
          <w:sz w:val="20"/>
          <w:szCs w:val="20"/>
        </w:rPr>
        <w:t>O</w:t>
      </w:r>
      <w:r w:rsidR="008524BA" w:rsidRPr="00AD2139">
        <w:rPr>
          <w:rFonts w:ascii="Arial" w:hAnsi="Arial" w:cs="Arial"/>
          <w:sz w:val="20"/>
          <w:szCs w:val="20"/>
          <w:vertAlign w:val="subscript"/>
        </w:rPr>
        <w:t>3</w:t>
      </w:r>
      <w:r w:rsidR="008524BA" w:rsidRPr="00AD2139">
        <w:rPr>
          <w:rFonts w:ascii="Arial" w:hAnsi="Arial" w:cs="Arial"/>
          <w:sz w:val="20"/>
          <w:szCs w:val="20"/>
        </w:rPr>
        <w:t>, SiO</w:t>
      </w:r>
      <w:r w:rsidR="008524BA" w:rsidRPr="00AD2139">
        <w:rPr>
          <w:rFonts w:ascii="Arial" w:hAnsi="Arial" w:cs="Arial"/>
          <w:sz w:val="20"/>
          <w:szCs w:val="20"/>
          <w:vertAlign w:val="subscript"/>
        </w:rPr>
        <w:t>2</w:t>
      </w:r>
      <w:r w:rsidR="009B0DBF">
        <w:rPr>
          <w:rFonts w:ascii="Arial" w:hAnsi="Arial" w:cs="Arial"/>
          <w:sz w:val="20"/>
          <w:szCs w:val="20"/>
        </w:rPr>
        <w:t xml:space="preserve"> và các oxit khác. Tùy </w:t>
      </w:r>
      <w:proofErr w:type="gramStart"/>
      <w:r w:rsidR="009B0DBF">
        <w:rPr>
          <w:rFonts w:ascii="Arial" w:hAnsi="Arial" w:cs="Arial"/>
          <w:sz w:val="20"/>
          <w:szCs w:val="20"/>
        </w:rPr>
        <w:t>theo</w:t>
      </w:r>
      <w:proofErr w:type="gramEnd"/>
      <w:r w:rsidR="008524BA" w:rsidRPr="00AD2139">
        <w:rPr>
          <w:rFonts w:ascii="Arial" w:hAnsi="Arial" w:cs="Arial"/>
          <w:sz w:val="20"/>
          <w:szCs w:val="20"/>
        </w:rPr>
        <w:t xml:space="preserve"> đặc điểm của quặng bô xít sử dụng, bùn đỏ có thể chứa một số nguyên tố</w:t>
      </w:r>
      <w:r w:rsidR="009B0DBF">
        <w:rPr>
          <w:rFonts w:ascii="Arial" w:hAnsi="Arial" w:cs="Arial"/>
          <w:sz w:val="20"/>
          <w:szCs w:val="20"/>
        </w:rPr>
        <w:t xml:space="preserve"> phóng xạ</w:t>
      </w:r>
      <w:r w:rsidR="0064110B" w:rsidRPr="00AD2139">
        <w:rPr>
          <w:rFonts w:ascii="Arial" w:hAnsi="Arial" w:cs="Arial"/>
          <w:sz w:val="20"/>
          <w:szCs w:val="20"/>
        </w:rPr>
        <w:t xml:space="preserve"> (U, Th). Tuy nhiên</w:t>
      </w:r>
      <w:r w:rsidR="008524BA" w:rsidRPr="00AD2139">
        <w:rPr>
          <w:rFonts w:ascii="Arial" w:hAnsi="Arial" w:cs="Arial"/>
          <w:sz w:val="20"/>
          <w:szCs w:val="20"/>
        </w:rPr>
        <w:t xml:space="preserve"> </w:t>
      </w:r>
      <w:proofErr w:type="gramStart"/>
      <w:r w:rsidR="008524BA" w:rsidRPr="00AD2139">
        <w:rPr>
          <w:rFonts w:ascii="Arial" w:hAnsi="Arial" w:cs="Arial"/>
          <w:sz w:val="20"/>
          <w:szCs w:val="20"/>
        </w:rPr>
        <w:t>theo</w:t>
      </w:r>
      <w:proofErr w:type="gramEnd"/>
      <w:r w:rsidR="008524BA" w:rsidRPr="00AD2139">
        <w:rPr>
          <w:rFonts w:ascii="Arial" w:hAnsi="Arial" w:cs="Arial"/>
          <w:sz w:val="20"/>
          <w:szCs w:val="20"/>
        </w:rPr>
        <w:t xml:space="preserve"> </w:t>
      </w:r>
      <w:r w:rsidR="0064110B" w:rsidRPr="00AD2139">
        <w:rPr>
          <w:rFonts w:ascii="Arial" w:hAnsi="Arial" w:cs="Arial"/>
          <w:sz w:val="20"/>
          <w:szCs w:val="20"/>
        </w:rPr>
        <w:t xml:space="preserve">báo </w:t>
      </w:r>
      <w:r w:rsidR="008524BA" w:rsidRPr="00AD2139">
        <w:rPr>
          <w:rFonts w:ascii="Arial" w:hAnsi="Arial" w:cs="Arial"/>
          <w:sz w:val="20"/>
          <w:szCs w:val="20"/>
        </w:rPr>
        <w:t xml:space="preserve">cáo nghiên cứu </w:t>
      </w:r>
      <w:r w:rsidR="00A34177" w:rsidRPr="00AD2139">
        <w:rPr>
          <w:rFonts w:ascii="Arial" w:hAnsi="Arial" w:cs="Arial"/>
          <w:sz w:val="20"/>
          <w:szCs w:val="20"/>
        </w:rPr>
        <w:t>đã tiến hành, bùn đỏ Tân Rai có hàm lượng các nguyên tố phóng xạ khá thấp, đáp ứng các yêu cầu về an toàn.</w:t>
      </w:r>
      <w:r w:rsidR="008524BA" w:rsidRPr="00AD2139">
        <w:rPr>
          <w:rFonts w:ascii="Arial" w:hAnsi="Arial" w:cs="Arial"/>
          <w:sz w:val="20"/>
          <w:szCs w:val="20"/>
        </w:rPr>
        <w:t xml:space="preserve"> </w:t>
      </w:r>
      <w:r w:rsidR="00A34177" w:rsidRPr="00AD2139">
        <w:rPr>
          <w:rFonts w:ascii="Arial" w:hAnsi="Arial" w:cs="Arial"/>
          <w:sz w:val="20"/>
          <w:szCs w:val="20"/>
        </w:rPr>
        <w:t xml:space="preserve">Bên cạnh đó, một vấn đề ảnh hưởng tiêu cực đến môi trường nếu không được xử lý thích đáng là </w:t>
      </w:r>
      <w:r w:rsidR="008524BA" w:rsidRPr="00AD2139">
        <w:rPr>
          <w:rFonts w:ascii="Arial" w:hAnsi="Arial" w:cs="Arial"/>
          <w:sz w:val="20"/>
          <w:szCs w:val="20"/>
        </w:rPr>
        <w:t>bùn đỏ luôn chứa một lượng lớn NaOH dư (khoảng 4-6%) khiến độ pH của bùn đỏ có giá trị khá cao, có thể lên đến 13</w:t>
      </w:r>
      <w:r w:rsidR="00033540" w:rsidRPr="00AD2139">
        <w:rPr>
          <w:rFonts w:ascii="Arial" w:hAnsi="Arial" w:cs="Arial"/>
          <w:sz w:val="20"/>
          <w:szCs w:val="20"/>
        </w:rPr>
        <w:t xml:space="preserve"> [1</w:t>
      </w:r>
      <w:r w:rsidR="00DD0F00" w:rsidRPr="00AD2139">
        <w:rPr>
          <w:rFonts w:ascii="Arial" w:hAnsi="Arial" w:cs="Arial"/>
          <w:sz w:val="20"/>
          <w:szCs w:val="20"/>
        </w:rPr>
        <w:t>, 2</w:t>
      </w:r>
      <w:r w:rsidR="00033540" w:rsidRPr="00AD2139">
        <w:rPr>
          <w:rFonts w:ascii="Arial" w:hAnsi="Arial" w:cs="Arial"/>
          <w:sz w:val="20"/>
          <w:szCs w:val="20"/>
        </w:rPr>
        <w:t>]</w:t>
      </w:r>
      <w:r w:rsidR="008524BA" w:rsidRPr="00AD2139">
        <w:rPr>
          <w:rFonts w:ascii="Arial" w:hAnsi="Arial" w:cs="Arial"/>
          <w:sz w:val="20"/>
          <w:szCs w:val="20"/>
        </w:rPr>
        <w:t>.</w:t>
      </w:r>
      <w:r w:rsidR="00A34177" w:rsidRPr="00AD2139">
        <w:rPr>
          <w:rFonts w:ascii="Arial" w:hAnsi="Arial" w:cs="Arial"/>
          <w:sz w:val="20"/>
          <w:szCs w:val="20"/>
        </w:rPr>
        <w:t xml:space="preserve"> </w:t>
      </w:r>
    </w:p>
    <w:p w:rsidR="00AC7CC5" w:rsidRPr="00AD2139" w:rsidRDefault="004B0CE4" w:rsidP="00AD2139">
      <w:pPr>
        <w:spacing w:before="0" w:after="60" w:line="300" w:lineRule="exact"/>
        <w:jc w:val="both"/>
        <w:rPr>
          <w:rFonts w:ascii="Arial" w:hAnsi="Arial" w:cs="Arial"/>
          <w:sz w:val="20"/>
          <w:szCs w:val="20"/>
        </w:rPr>
      </w:pPr>
      <w:r w:rsidRPr="00AD2139">
        <w:rPr>
          <w:rFonts w:ascii="Arial" w:hAnsi="Arial" w:cs="Arial"/>
          <w:sz w:val="20"/>
          <w:szCs w:val="20"/>
        </w:rPr>
        <w:tab/>
        <w:t xml:space="preserve">Đã có nhiều đề xuất hướng xử lý bùn đỏ như tận </w:t>
      </w:r>
      <w:proofErr w:type="gramStart"/>
      <w:r w:rsidRPr="00AD2139">
        <w:rPr>
          <w:rFonts w:ascii="Arial" w:hAnsi="Arial" w:cs="Arial"/>
          <w:sz w:val="20"/>
          <w:szCs w:val="20"/>
        </w:rPr>
        <w:t>thu</w:t>
      </w:r>
      <w:proofErr w:type="gramEnd"/>
      <w:r w:rsidRPr="00AD2139">
        <w:rPr>
          <w:rFonts w:ascii="Arial" w:hAnsi="Arial" w:cs="Arial"/>
          <w:sz w:val="20"/>
          <w:szCs w:val="20"/>
        </w:rPr>
        <w:t xml:space="preserve"> các kim loạ</w:t>
      </w:r>
      <w:r w:rsidR="00A34177" w:rsidRPr="00AD2139">
        <w:rPr>
          <w:rFonts w:ascii="Arial" w:hAnsi="Arial" w:cs="Arial"/>
          <w:sz w:val="20"/>
          <w:szCs w:val="20"/>
        </w:rPr>
        <w:t>i tro</w:t>
      </w:r>
      <w:r w:rsidRPr="00AD2139">
        <w:rPr>
          <w:rFonts w:ascii="Arial" w:hAnsi="Arial" w:cs="Arial"/>
          <w:sz w:val="20"/>
          <w:szCs w:val="20"/>
        </w:rPr>
        <w:t>n</w:t>
      </w:r>
      <w:r w:rsidR="00A34177" w:rsidRPr="00AD2139">
        <w:rPr>
          <w:rFonts w:ascii="Arial" w:hAnsi="Arial" w:cs="Arial"/>
          <w:sz w:val="20"/>
          <w:szCs w:val="20"/>
        </w:rPr>
        <w:t>g</w:t>
      </w:r>
      <w:r w:rsidRPr="00AD2139">
        <w:rPr>
          <w:rFonts w:ascii="Arial" w:hAnsi="Arial" w:cs="Arial"/>
          <w:sz w:val="20"/>
          <w:szCs w:val="20"/>
        </w:rPr>
        <w:t xml:space="preserve"> bùn đỏ mà chủ yếu là sắt, sử dụng bùn đỏ làm chất hấp thụ kim loại nặng, sử dụng bùn đỏ tron</w:t>
      </w:r>
      <w:r w:rsidR="00A34177" w:rsidRPr="00AD2139">
        <w:rPr>
          <w:rFonts w:ascii="Arial" w:hAnsi="Arial" w:cs="Arial"/>
          <w:sz w:val="20"/>
          <w:szCs w:val="20"/>
        </w:rPr>
        <w:t>g</w:t>
      </w:r>
      <w:r w:rsidRPr="00AD2139">
        <w:rPr>
          <w:rFonts w:ascii="Arial" w:hAnsi="Arial" w:cs="Arial"/>
          <w:sz w:val="20"/>
          <w:szCs w:val="20"/>
        </w:rPr>
        <w:t xml:space="preserve"> sản xuất gạch nung, sử dụng bùn đỏ sản xuất gạch không nung hệ</w:t>
      </w:r>
      <w:r w:rsidR="0064110B" w:rsidRPr="00AD2139">
        <w:rPr>
          <w:rFonts w:ascii="Arial" w:hAnsi="Arial" w:cs="Arial"/>
          <w:sz w:val="20"/>
          <w:szCs w:val="20"/>
        </w:rPr>
        <w:t xml:space="preserve"> geopolimer. Tuy nhiên</w:t>
      </w:r>
      <w:r w:rsidRPr="00AD2139">
        <w:rPr>
          <w:rFonts w:ascii="Arial" w:hAnsi="Arial" w:cs="Arial"/>
          <w:sz w:val="20"/>
          <w:szCs w:val="20"/>
        </w:rPr>
        <w:t xml:space="preserve"> cho đến nay, do các vấn đề về hiệu quả kinh tế, hạn chế về mặt kỹ thuật,... vẫn chưa có giải pháp nào chứng minh được tính hiệu quả trong việc </w:t>
      </w:r>
      <w:r w:rsidR="0064110B" w:rsidRPr="00AD2139">
        <w:rPr>
          <w:rFonts w:ascii="Arial" w:hAnsi="Arial" w:cs="Arial"/>
          <w:sz w:val="20"/>
          <w:szCs w:val="20"/>
        </w:rPr>
        <w:t>x</w:t>
      </w:r>
      <w:r w:rsidRPr="00AD2139">
        <w:rPr>
          <w:rFonts w:ascii="Arial" w:hAnsi="Arial" w:cs="Arial"/>
          <w:sz w:val="20"/>
          <w:szCs w:val="20"/>
        </w:rPr>
        <w:t>ử lý một lượng lớn phế thải bùn đỏ</w:t>
      </w:r>
      <w:r w:rsidR="00033540" w:rsidRPr="00AD2139">
        <w:rPr>
          <w:rFonts w:ascii="Arial" w:hAnsi="Arial" w:cs="Arial"/>
          <w:sz w:val="20"/>
          <w:szCs w:val="20"/>
        </w:rPr>
        <w:t xml:space="preserve"> [2</w:t>
      </w:r>
      <w:r w:rsidR="00DD0F00" w:rsidRPr="00AD2139">
        <w:rPr>
          <w:rFonts w:ascii="Arial" w:hAnsi="Arial" w:cs="Arial"/>
          <w:sz w:val="20"/>
          <w:szCs w:val="20"/>
        </w:rPr>
        <w:t xml:space="preserve"> -7</w:t>
      </w:r>
      <w:r w:rsidR="00033540" w:rsidRPr="00AD2139">
        <w:rPr>
          <w:rFonts w:ascii="Arial" w:hAnsi="Arial" w:cs="Arial"/>
          <w:sz w:val="20"/>
          <w:szCs w:val="20"/>
        </w:rPr>
        <w:t>]</w:t>
      </w:r>
      <w:r w:rsidRPr="00AD2139">
        <w:rPr>
          <w:rFonts w:ascii="Arial" w:hAnsi="Arial" w:cs="Arial"/>
          <w:sz w:val="20"/>
          <w:szCs w:val="20"/>
        </w:rPr>
        <w:t xml:space="preserve">. Bài báo </w:t>
      </w:r>
      <w:r w:rsidR="00033540" w:rsidRPr="00AD2139">
        <w:rPr>
          <w:rFonts w:ascii="Arial" w:hAnsi="Arial" w:cs="Arial"/>
          <w:sz w:val="20"/>
          <w:szCs w:val="20"/>
        </w:rPr>
        <w:t>trình bày</w:t>
      </w:r>
      <w:r w:rsidRPr="00AD2139">
        <w:rPr>
          <w:rFonts w:ascii="Arial" w:hAnsi="Arial" w:cs="Arial"/>
          <w:sz w:val="20"/>
          <w:szCs w:val="20"/>
        </w:rPr>
        <w:t xml:space="preserve"> hướng xử lý bùn đỏ phế thải trong sản xuất vật liệu không nung </w:t>
      </w:r>
      <w:r w:rsidR="00033540" w:rsidRPr="00AD2139">
        <w:rPr>
          <w:rFonts w:ascii="Arial" w:hAnsi="Arial" w:cs="Arial"/>
          <w:sz w:val="20"/>
          <w:szCs w:val="20"/>
        </w:rPr>
        <w:t xml:space="preserve">geopolymer </w:t>
      </w:r>
      <w:proofErr w:type="gramStart"/>
      <w:r w:rsidR="00033540" w:rsidRPr="00AD2139">
        <w:rPr>
          <w:rFonts w:ascii="Arial" w:hAnsi="Arial" w:cs="Arial"/>
          <w:sz w:val="20"/>
          <w:szCs w:val="20"/>
        </w:rPr>
        <w:t>theo</w:t>
      </w:r>
      <w:proofErr w:type="gramEnd"/>
      <w:r w:rsidR="00033540" w:rsidRPr="00AD2139">
        <w:rPr>
          <w:rFonts w:ascii="Arial" w:hAnsi="Arial" w:cs="Arial"/>
          <w:sz w:val="20"/>
          <w:szCs w:val="20"/>
        </w:rPr>
        <w:t xml:space="preserve"> công nghệ chưng áp giúp</w:t>
      </w:r>
      <w:r w:rsidRPr="00AD2139">
        <w:rPr>
          <w:rFonts w:ascii="Arial" w:hAnsi="Arial" w:cs="Arial"/>
          <w:sz w:val="20"/>
          <w:szCs w:val="20"/>
        </w:rPr>
        <w:t xml:space="preserve"> giải quyết được các hạn chế về mặt kỹ thuật, đảm bảo hiệu quả kinh tế.</w:t>
      </w:r>
    </w:p>
    <w:p w:rsidR="00A72252" w:rsidRPr="00AD2139" w:rsidRDefault="001949E4" w:rsidP="00B577B2">
      <w:pPr>
        <w:spacing w:before="0" w:after="120" w:line="300" w:lineRule="exact"/>
        <w:jc w:val="both"/>
        <w:rPr>
          <w:rFonts w:ascii="Arial" w:hAnsi="Arial" w:cs="Arial"/>
          <w:sz w:val="20"/>
          <w:szCs w:val="20"/>
        </w:rPr>
      </w:pPr>
      <w:r w:rsidRPr="00AD2139">
        <w:rPr>
          <w:rFonts w:ascii="Arial" w:hAnsi="Arial" w:cs="Arial"/>
          <w:sz w:val="20"/>
          <w:szCs w:val="20"/>
        </w:rPr>
        <w:t xml:space="preserve"> </w:t>
      </w:r>
      <w:r w:rsidRPr="00AD2139">
        <w:rPr>
          <w:rFonts w:ascii="Arial" w:hAnsi="Arial" w:cs="Arial"/>
          <w:sz w:val="20"/>
          <w:szCs w:val="20"/>
        </w:rPr>
        <w:tab/>
      </w:r>
      <w:r w:rsidR="004B0CE4" w:rsidRPr="00AD2139">
        <w:rPr>
          <w:rFonts w:ascii="Arial" w:hAnsi="Arial" w:cs="Arial"/>
          <w:sz w:val="20"/>
          <w:szCs w:val="20"/>
        </w:rPr>
        <w:t>Trong thực tế, vật liệu hoạt hóa kiềm và vật liệu geopolimer có sử dụng bùn đỏ đã được nghiên cứu bởi các nhà khoa học trong và ngoài nước. Tuy nhiên, do sử dụng kiềm để kích hoạt nên trong sản phẩm</w:t>
      </w:r>
      <w:r w:rsidR="005F5C35" w:rsidRPr="00AD2139">
        <w:rPr>
          <w:rFonts w:ascii="Arial" w:hAnsi="Arial" w:cs="Arial"/>
          <w:sz w:val="20"/>
          <w:szCs w:val="20"/>
        </w:rPr>
        <w:t xml:space="preserve"> dạng này</w:t>
      </w:r>
      <w:r w:rsidR="004B0CE4" w:rsidRPr="00AD2139">
        <w:rPr>
          <w:rFonts w:ascii="Arial" w:hAnsi="Arial" w:cs="Arial"/>
          <w:sz w:val="20"/>
          <w:szCs w:val="20"/>
        </w:rPr>
        <w:t xml:space="preserve"> vẫn còn một lượng lớn kiềm dư</w:t>
      </w:r>
      <w:r w:rsidR="005F5C35" w:rsidRPr="00AD2139">
        <w:rPr>
          <w:rFonts w:ascii="Arial" w:hAnsi="Arial" w:cs="Arial"/>
          <w:sz w:val="20"/>
          <w:szCs w:val="20"/>
        </w:rPr>
        <w:t xml:space="preserve">. </w:t>
      </w:r>
      <w:r w:rsidR="005F5C35" w:rsidRPr="00AD2139">
        <w:rPr>
          <w:rFonts w:ascii="Arial" w:hAnsi="Arial" w:cs="Arial"/>
          <w:sz w:val="20"/>
          <w:szCs w:val="20"/>
        </w:rPr>
        <w:lastRenderedPageBreak/>
        <w:t xml:space="preserve">Ngoài ra, khi xử lý </w:t>
      </w:r>
      <w:proofErr w:type="gramStart"/>
      <w:r w:rsidR="005F5C35" w:rsidRPr="00AD2139">
        <w:rPr>
          <w:rFonts w:ascii="Arial" w:hAnsi="Arial" w:cs="Arial"/>
          <w:sz w:val="20"/>
          <w:szCs w:val="20"/>
        </w:rPr>
        <w:t>theo</w:t>
      </w:r>
      <w:proofErr w:type="gramEnd"/>
      <w:r w:rsidR="005F5C35" w:rsidRPr="00AD2139">
        <w:rPr>
          <w:rFonts w:ascii="Arial" w:hAnsi="Arial" w:cs="Arial"/>
          <w:sz w:val="20"/>
          <w:szCs w:val="20"/>
        </w:rPr>
        <w:t xml:space="preserve"> công nghệ thông thường, SiO</w:t>
      </w:r>
      <w:r w:rsidR="005F5C35" w:rsidRPr="00AD2139">
        <w:rPr>
          <w:rFonts w:ascii="Arial" w:hAnsi="Arial" w:cs="Arial"/>
          <w:sz w:val="20"/>
          <w:szCs w:val="20"/>
          <w:vertAlign w:val="subscript"/>
        </w:rPr>
        <w:t>2</w:t>
      </w:r>
      <w:r w:rsidR="005F5C35" w:rsidRPr="00AD2139">
        <w:rPr>
          <w:rFonts w:ascii="Arial" w:hAnsi="Arial" w:cs="Arial"/>
          <w:sz w:val="20"/>
          <w:szCs w:val="20"/>
        </w:rPr>
        <w:t xml:space="preserve"> trong bùn đỏ không tham gia phản ứng nên cần phải sử dụng nguồn SiO</w:t>
      </w:r>
      <w:r w:rsidR="005F5C35" w:rsidRPr="00AD2139">
        <w:rPr>
          <w:rFonts w:ascii="Arial" w:hAnsi="Arial" w:cs="Arial"/>
          <w:sz w:val="20"/>
          <w:szCs w:val="20"/>
          <w:vertAlign w:val="subscript"/>
        </w:rPr>
        <w:t>2</w:t>
      </w:r>
      <w:r w:rsidR="005F5C35" w:rsidRPr="00AD2139">
        <w:rPr>
          <w:rFonts w:ascii="Arial" w:hAnsi="Arial" w:cs="Arial"/>
          <w:sz w:val="20"/>
          <w:szCs w:val="20"/>
        </w:rPr>
        <w:t xml:space="preserve"> bổ sung bên ngoài. Do đó, hạn chế lượng dùng bùn đỏ trong vật liệu. </w:t>
      </w:r>
      <w:r w:rsidR="00A34177" w:rsidRPr="00AD2139">
        <w:rPr>
          <w:rFonts w:ascii="Arial" w:hAnsi="Arial" w:cs="Arial"/>
          <w:sz w:val="20"/>
          <w:szCs w:val="20"/>
        </w:rPr>
        <w:t>Ngoài ra, p</w:t>
      </w:r>
      <w:r w:rsidR="005F5C35" w:rsidRPr="00AD2139">
        <w:rPr>
          <w:rFonts w:ascii="Arial" w:hAnsi="Arial" w:cs="Arial"/>
          <w:sz w:val="20"/>
          <w:szCs w:val="20"/>
        </w:rPr>
        <w:t>hế thải bùn đỏ được hình thành và lưu trữ ở khu vực Tây Nguyên, tro</w:t>
      </w:r>
      <w:r w:rsidR="0079700B" w:rsidRPr="00AD2139">
        <w:rPr>
          <w:rFonts w:ascii="Arial" w:hAnsi="Arial" w:cs="Arial"/>
          <w:sz w:val="20"/>
          <w:szCs w:val="20"/>
        </w:rPr>
        <w:t>n</w:t>
      </w:r>
      <w:r w:rsidR="005F5C35" w:rsidRPr="00AD2139">
        <w:rPr>
          <w:rFonts w:ascii="Arial" w:hAnsi="Arial" w:cs="Arial"/>
          <w:sz w:val="20"/>
          <w:szCs w:val="20"/>
        </w:rPr>
        <w:t xml:space="preserve">g phạm </w:t>
      </w:r>
      <w:proofErr w:type="gramStart"/>
      <w:r w:rsidR="005F5C35" w:rsidRPr="00AD2139">
        <w:rPr>
          <w:rFonts w:ascii="Arial" w:hAnsi="Arial" w:cs="Arial"/>
          <w:sz w:val="20"/>
          <w:szCs w:val="20"/>
        </w:rPr>
        <w:t>vi</w:t>
      </w:r>
      <w:proofErr w:type="gramEnd"/>
      <w:r w:rsidR="005F5C35" w:rsidRPr="00AD2139">
        <w:rPr>
          <w:rFonts w:ascii="Arial" w:hAnsi="Arial" w:cs="Arial"/>
          <w:sz w:val="20"/>
          <w:szCs w:val="20"/>
        </w:rPr>
        <w:t xml:space="preserve"> nhà máy. Do đó, vấn đề vận chuyển nguyên vật liệu phục vụ sản xuất </w:t>
      </w:r>
      <w:r w:rsidR="00A34177" w:rsidRPr="00AD2139">
        <w:rPr>
          <w:rFonts w:ascii="Arial" w:hAnsi="Arial" w:cs="Arial"/>
          <w:sz w:val="20"/>
          <w:szCs w:val="20"/>
        </w:rPr>
        <w:t xml:space="preserve">tại nguồn phát thải hay vận chuyển phế thải đến địa điểm khác có nguồn vật liệu bổ sung để xử lý cũng ảnh hưởng đến </w:t>
      </w:r>
      <w:r w:rsidR="005F5C35" w:rsidRPr="00AD2139">
        <w:rPr>
          <w:rFonts w:ascii="Arial" w:hAnsi="Arial" w:cs="Arial"/>
          <w:sz w:val="20"/>
          <w:szCs w:val="20"/>
        </w:rPr>
        <w:t>hiệu quả kinh tế của sản phẩm</w:t>
      </w:r>
      <w:r w:rsidR="00A34177" w:rsidRPr="00AD2139">
        <w:rPr>
          <w:rFonts w:ascii="Arial" w:hAnsi="Arial" w:cs="Arial"/>
          <w:sz w:val="20"/>
          <w:szCs w:val="20"/>
        </w:rPr>
        <w:t xml:space="preserve"> hoặc môi trường</w:t>
      </w:r>
      <w:r w:rsidR="005F5C35" w:rsidRPr="00AD2139">
        <w:rPr>
          <w:rFonts w:ascii="Arial" w:hAnsi="Arial" w:cs="Arial"/>
          <w:sz w:val="20"/>
          <w:szCs w:val="20"/>
        </w:rPr>
        <w:t>.</w:t>
      </w:r>
    </w:p>
    <w:p w:rsidR="005F5C35" w:rsidRPr="00AD2139" w:rsidRDefault="005F5C35" w:rsidP="00AD2139">
      <w:pPr>
        <w:spacing w:before="0" w:after="120" w:line="280" w:lineRule="exact"/>
        <w:jc w:val="both"/>
        <w:rPr>
          <w:rFonts w:ascii="Arial" w:hAnsi="Arial" w:cs="Arial"/>
          <w:sz w:val="20"/>
          <w:szCs w:val="20"/>
        </w:rPr>
      </w:pPr>
      <w:r w:rsidRPr="00AD2139">
        <w:rPr>
          <w:rFonts w:ascii="Arial" w:hAnsi="Arial" w:cs="Arial"/>
          <w:sz w:val="20"/>
          <w:szCs w:val="20"/>
        </w:rPr>
        <w:tab/>
        <w:t xml:space="preserve">Để giải quyết vấn đề này, nghiên cứu </w:t>
      </w:r>
      <w:r w:rsidR="00033540" w:rsidRPr="00AD2139">
        <w:rPr>
          <w:rFonts w:ascii="Arial" w:hAnsi="Arial" w:cs="Arial"/>
          <w:sz w:val="20"/>
          <w:szCs w:val="20"/>
        </w:rPr>
        <w:t>[</w:t>
      </w:r>
      <w:r w:rsidR="00DD0F00" w:rsidRPr="00AD2139">
        <w:rPr>
          <w:rFonts w:ascii="Arial" w:hAnsi="Arial" w:cs="Arial"/>
          <w:sz w:val="20"/>
          <w:szCs w:val="20"/>
        </w:rPr>
        <w:t>8</w:t>
      </w:r>
      <w:r w:rsidR="00033540" w:rsidRPr="00AD2139">
        <w:rPr>
          <w:rFonts w:ascii="Arial" w:hAnsi="Arial" w:cs="Arial"/>
          <w:sz w:val="20"/>
          <w:szCs w:val="20"/>
        </w:rPr>
        <w:t xml:space="preserve">] </w:t>
      </w:r>
      <w:r w:rsidRPr="00AD2139">
        <w:rPr>
          <w:rFonts w:ascii="Arial" w:hAnsi="Arial" w:cs="Arial"/>
          <w:sz w:val="20"/>
          <w:szCs w:val="20"/>
        </w:rPr>
        <w:t>đã tiến hành</w:t>
      </w:r>
      <w:r w:rsidR="003D63B7" w:rsidRPr="00AD2139">
        <w:rPr>
          <w:rFonts w:ascii="Arial" w:hAnsi="Arial" w:cs="Arial"/>
          <w:sz w:val="20"/>
          <w:szCs w:val="20"/>
        </w:rPr>
        <w:t xml:space="preserve"> với bùn đỏ phế thải củ</w:t>
      </w:r>
      <w:r w:rsidR="00EB4BCF" w:rsidRPr="00AD2139">
        <w:rPr>
          <w:rFonts w:ascii="Arial" w:hAnsi="Arial" w:cs="Arial"/>
          <w:sz w:val="20"/>
          <w:szCs w:val="20"/>
        </w:rPr>
        <w:t xml:space="preserve">a Nhà máy Alumin Tân Rai </w:t>
      </w:r>
      <w:r w:rsidRPr="00AD2139">
        <w:rPr>
          <w:rFonts w:ascii="Arial" w:hAnsi="Arial" w:cs="Arial"/>
          <w:sz w:val="20"/>
          <w:szCs w:val="20"/>
        </w:rPr>
        <w:t>cho thấy, bằng phương pháp gia công chưng áp có thể kích hoạt được SiO</w:t>
      </w:r>
      <w:r w:rsidR="0079700B" w:rsidRPr="00AD2139">
        <w:rPr>
          <w:rFonts w:ascii="Arial" w:hAnsi="Arial" w:cs="Arial"/>
          <w:sz w:val="20"/>
          <w:szCs w:val="20"/>
          <w:vertAlign w:val="subscript"/>
        </w:rPr>
        <w:t>2</w:t>
      </w:r>
      <w:r w:rsidRPr="00AD2139">
        <w:rPr>
          <w:rFonts w:ascii="Arial" w:hAnsi="Arial" w:cs="Arial"/>
          <w:sz w:val="20"/>
          <w:szCs w:val="20"/>
        </w:rPr>
        <w:t xml:space="preserve"> trong thành phần của bùn đỏ, đồ</w:t>
      </w:r>
      <w:r w:rsidR="003D63B7" w:rsidRPr="00AD2139">
        <w:rPr>
          <w:rFonts w:ascii="Arial" w:hAnsi="Arial" w:cs="Arial"/>
          <w:sz w:val="20"/>
          <w:szCs w:val="20"/>
        </w:rPr>
        <w:t>n</w:t>
      </w:r>
      <w:r w:rsidRPr="00AD2139">
        <w:rPr>
          <w:rFonts w:ascii="Arial" w:hAnsi="Arial" w:cs="Arial"/>
          <w:sz w:val="20"/>
          <w:szCs w:val="20"/>
        </w:rPr>
        <w:t xml:space="preserve">g thời thúc đẩy phản ứng liên kết trong vật liệu ở nồng độ NaOH thấp. Ngoài ra, có thể sử dụng tro bay phế thải của nhà máy nhiệt điện của dự </w:t>
      </w:r>
      <w:proofErr w:type="gramStart"/>
      <w:r w:rsidRPr="00AD2139">
        <w:rPr>
          <w:rFonts w:ascii="Arial" w:hAnsi="Arial" w:cs="Arial"/>
          <w:sz w:val="20"/>
          <w:szCs w:val="20"/>
        </w:rPr>
        <w:t>án</w:t>
      </w:r>
      <w:proofErr w:type="gramEnd"/>
      <w:r w:rsidRPr="00AD2139">
        <w:rPr>
          <w:rFonts w:ascii="Arial" w:hAnsi="Arial" w:cs="Arial"/>
          <w:sz w:val="20"/>
          <w:szCs w:val="20"/>
        </w:rPr>
        <w:t xml:space="preserve"> làm nguồn cung cấp SiO</w:t>
      </w:r>
      <w:r w:rsidRPr="00AD2139">
        <w:rPr>
          <w:rFonts w:ascii="Arial" w:hAnsi="Arial" w:cs="Arial"/>
          <w:sz w:val="20"/>
          <w:szCs w:val="20"/>
          <w:vertAlign w:val="subscript"/>
        </w:rPr>
        <w:t>2</w:t>
      </w:r>
      <w:r w:rsidRPr="00AD2139">
        <w:rPr>
          <w:rFonts w:ascii="Arial" w:hAnsi="Arial" w:cs="Arial"/>
          <w:sz w:val="20"/>
          <w:szCs w:val="20"/>
        </w:rPr>
        <w:t xml:space="preserve"> bổ sung nhằm nâng cao chất lượng sản phẩm. Qua đó, có thể chế tạo được </w:t>
      </w:r>
      <w:r w:rsidR="00033540" w:rsidRPr="00AD2139">
        <w:rPr>
          <w:rFonts w:ascii="Arial" w:hAnsi="Arial" w:cs="Arial"/>
          <w:sz w:val="20"/>
          <w:szCs w:val="20"/>
        </w:rPr>
        <w:t xml:space="preserve">geopolymer </w:t>
      </w:r>
      <w:r w:rsidRPr="00AD2139">
        <w:rPr>
          <w:rFonts w:ascii="Arial" w:hAnsi="Arial" w:cs="Arial"/>
          <w:sz w:val="20"/>
          <w:szCs w:val="20"/>
        </w:rPr>
        <w:t>trên cơ sở bùn đỏ và tro bay- bùn đỏ đáp ứng các yêu cầu làm gạch không nung.</w:t>
      </w:r>
    </w:p>
    <w:p w:rsidR="00002931" w:rsidRPr="00AD2139" w:rsidRDefault="001949E4" w:rsidP="00AD2139">
      <w:pPr>
        <w:spacing w:before="0" w:after="120" w:line="280" w:lineRule="exact"/>
        <w:jc w:val="both"/>
        <w:rPr>
          <w:rFonts w:ascii="Arial" w:hAnsi="Arial" w:cs="Arial"/>
          <w:sz w:val="20"/>
          <w:szCs w:val="20"/>
        </w:rPr>
      </w:pPr>
      <w:r w:rsidRPr="00AD2139">
        <w:rPr>
          <w:rFonts w:ascii="Arial" w:hAnsi="Arial" w:cs="Arial"/>
          <w:sz w:val="20"/>
          <w:szCs w:val="20"/>
        </w:rPr>
        <w:tab/>
      </w:r>
      <w:r w:rsidR="005F5C35" w:rsidRPr="00AD2139">
        <w:rPr>
          <w:rFonts w:ascii="Arial" w:hAnsi="Arial" w:cs="Arial"/>
          <w:sz w:val="20"/>
          <w:szCs w:val="20"/>
        </w:rPr>
        <w:t xml:space="preserve">Các nghiên cứu đã tiến hành cho thấy, </w:t>
      </w:r>
      <w:r w:rsidR="0079700B" w:rsidRPr="00AD2139">
        <w:rPr>
          <w:rFonts w:ascii="Arial" w:hAnsi="Arial" w:cs="Arial"/>
          <w:sz w:val="20"/>
          <w:szCs w:val="20"/>
        </w:rPr>
        <w:t xml:space="preserve">cường độ chịu nén của vật liệu tăng khi tăng nồng độ NaOH trong dung dịch. Tuy nhiên, tăng nồng độ NaOH ban đầu làm tăng lượng kiềm dư và tăng pH sản phẩm. Vượt quá ngưỡng nhất định, trong quá </w:t>
      </w:r>
      <w:r w:rsidR="0079700B" w:rsidRPr="00AD2139">
        <w:rPr>
          <w:rFonts w:ascii="Arial" w:hAnsi="Arial" w:cs="Arial"/>
          <w:sz w:val="20"/>
          <w:szCs w:val="20"/>
        </w:rPr>
        <w:lastRenderedPageBreak/>
        <w:t>trình bay hơi nước, kiềm trong sản phẩm có thể thoát ra, tác dụ</w:t>
      </w:r>
      <w:r w:rsidR="00EB4BCF" w:rsidRPr="00AD2139">
        <w:rPr>
          <w:rFonts w:ascii="Arial" w:hAnsi="Arial" w:cs="Arial"/>
          <w:sz w:val="20"/>
          <w:szCs w:val="20"/>
        </w:rPr>
        <w:t>ng v</w:t>
      </w:r>
      <w:r w:rsidR="0079700B" w:rsidRPr="00AD2139">
        <w:rPr>
          <w:rFonts w:ascii="Arial" w:hAnsi="Arial" w:cs="Arial"/>
          <w:sz w:val="20"/>
          <w:szCs w:val="20"/>
        </w:rPr>
        <w:t>ới CO</w:t>
      </w:r>
      <w:r w:rsidR="0079700B" w:rsidRPr="00AD2139">
        <w:rPr>
          <w:rFonts w:ascii="Arial" w:hAnsi="Arial" w:cs="Arial"/>
          <w:sz w:val="20"/>
          <w:szCs w:val="20"/>
          <w:vertAlign w:val="subscript"/>
        </w:rPr>
        <w:t>2</w:t>
      </w:r>
      <w:r w:rsidR="0079700B" w:rsidRPr="00AD2139">
        <w:rPr>
          <w:rFonts w:ascii="Arial" w:hAnsi="Arial" w:cs="Arial"/>
          <w:sz w:val="20"/>
          <w:szCs w:val="20"/>
        </w:rPr>
        <w:t xml:space="preserve"> trong không khí để hình thành Na</w:t>
      </w:r>
      <w:r w:rsidR="0079700B" w:rsidRPr="00AD2139">
        <w:rPr>
          <w:rFonts w:ascii="Arial" w:hAnsi="Arial" w:cs="Arial"/>
          <w:sz w:val="20"/>
          <w:szCs w:val="20"/>
          <w:vertAlign w:val="subscript"/>
        </w:rPr>
        <w:t>2</w:t>
      </w:r>
      <w:r w:rsidR="0079700B" w:rsidRPr="00AD2139">
        <w:rPr>
          <w:rFonts w:ascii="Arial" w:hAnsi="Arial" w:cs="Arial"/>
          <w:sz w:val="20"/>
          <w:szCs w:val="20"/>
        </w:rPr>
        <w:t>CO</w:t>
      </w:r>
      <w:r w:rsidR="0079700B" w:rsidRPr="00AD2139">
        <w:rPr>
          <w:rFonts w:ascii="Arial" w:hAnsi="Arial" w:cs="Arial"/>
          <w:sz w:val="20"/>
          <w:szCs w:val="20"/>
          <w:vertAlign w:val="subscript"/>
        </w:rPr>
        <w:t>3</w:t>
      </w:r>
      <w:r w:rsidR="0079700B" w:rsidRPr="00AD2139">
        <w:rPr>
          <w:rFonts w:ascii="Arial" w:hAnsi="Arial" w:cs="Arial"/>
          <w:sz w:val="20"/>
          <w:szCs w:val="20"/>
        </w:rPr>
        <w:t>.7H</w:t>
      </w:r>
      <w:r w:rsidR="0079700B" w:rsidRPr="00AD2139">
        <w:rPr>
          <w:rFonts w:ascii="Arial" w:hAnsi="Arial" w:cs="Arial"/>
          <w:sz w:val="20"/>
          <w:szCs w:val="20"/>
          <w:vertAlign w:val="subscript"/>
        </w:rPr>
        <w:t>2</w:t>
      </w:r>
      <w:r w:rsidR="0079700B" w:rsidRPr="00AD2139">
        <w:rPr>
          <w:rFonts w:ascii="Arial" w:hAnsi="Arial" w:cs="Arial"/>
          <w:sz w:val="20"/>
          <w:szCs w:val="20"/>
        </w:rPr>
        <w:t>O, kết tinh trên b</w:t>
      </w:r>
      <w:r w:rsidR="00913432" w:rsidRPr="00AD2139">
        <w:rPr>
          <w:rFonts w:ascii="Arial" w:hAnsi="Arial" w:cs="Arial"/>
          <w:sz w:val="20"/>
          <w:szCs w:val="20"/>
        </w:rPr>
        <w:t>ề</w:t>
      </w:r>
      <w:r w:rsidR="0079700B" w:rsidRPr="00AD2139">
        <w:rPr>
          <w:rFonts w:ascii="Arial" w:hAnsi="Arial" w:cs="Arial"/>
          <w:sz w:val="20"/>
          <w:szCs w:val="20"/>
        </w:rPr>
        <w:t xml:space="preserve"> mặt vật liệu. Để khắc phục hiện tượng này cần phải giảm nồng độ NaOH ban đầu trong dung dịch mà vẫn giữ nguyên được khả năng phản ứng </w:t>
      </w:r>
      <w:r w:rsidR="00002931" w:rsidRPr="00AD2139">
        <w:rPr>
          <w:rFonts w:ascii="Arial" w:hAnsi="Arial" w:cs="Arial"/>
          <w:sz w:val="20"/>
          <w:szCs w:val="20"/>
        </w:rPr>
        <w:t>hình thành các</w:t>
      </w:r>
      <w:r w:rsidR="0079700B" w:rsidRPr="00AD2139">
        <w:rPr>
          <w:rFonts w:ascii="Arial" w:hAnsi="Arial" w:cs="Arial"/>
          <w:sz w:val="20"/>
          <w:szCs w:val="20"/>
        </w:rPr>
        <w:t xml:space="preserve"> liên kết trong</w:t>
      </w:r>
      <w:r w:rsidR="00002931" w:rsidRPr="00AD2139">
        <w:rPr>
          <w:rFonts w:ascii="Arial" w:hAnsi="Arial" w:cs="Arial"/>
          <w:sz w:val="20"/>
          <w:szCs w:val="20"/>
        </w:rPr>
        <w:t xml:space="preserve"> cấu trúc</w:t>
      </w:r>
      <w:r w:rsidR="0079700B" w:rsidRPr="00AD2139">
        <w:rPr>
          <w:rFonts w:ascii="Arial" w:hAnsi="Arial" w:cs="Arial"/>
          <w:sz w:val="20"/>
          <w:szCs w:val="20"/>
        </w:rPr>
        <w:t xml:space="preserve"> vật liệu. Các nghiên cứu </w:t>
      </w:r>
      <w:r w:rsidR="00002931" w:rsidRPr="00AD2139">
        <w:rPr>
          <w:rFonts w:ascii="Arial" w:hAnsi="Arial" w:cs="Arial"/>
          <w:sz w:val="20"/>
          <w:szCs w:val="20"/>
        </w:rPr>
        <w:t xml:space="preserve">đã tiến hành </w:t>
      </w:r>
      <w:r w:rsidR="0079700B" w:rsidRPr="00AD2139">
        <w:rPr>
          <w:rFonts w:ascii="Arial" w:hAnsi="Arial" w:cs="Arial"/>
          <w:sz w:val="20"/>
          <w:szCs w:val="20"/>
        </w:rPr>
        <w:t>cho thấy rằng, nhờ áp dụng chế</w:t>
      </w:r>
      <w:r w:rsidR="0064110B" w:rsidRPr="00AD2139">
        <w:rPr>
          <w:rFonts w:ascii="Arial" w:hAnsi="Arial" w:cs="Arial"/>
          <w:sz w:val="20"/>
          <w:szCs w:val="20"/>
        </w:rPr>
        <w:t xml:space="preserve"> đ</w:t>
      </w:r>
      <w:r w:rsidR="0079700B" w:rsidRPr="00AD2139">
        <w:rPr>
          <w:rFonts w:ascii="Arial" w:hAnsi="Arial" w:cs="Arial"/>
          <w:sz w:val="20"/>
          <w:szCs w:val="20"/>
        </w:rPr>
        <w:t xml:space="preserve">ộ gia công </w:t>
      </w:r>
      <w:proofErr w:type="gramStart"/>
      <w:r w:rsidR="0079700B" w:rsidRPr="00AD2139">
        <w:rPr>
          <w:rFonts w:ascii="Arial" w:hAnsi="Arial" w:cs="Arial"/>
          <w:sz w:val="20"/>
          <w:szCs w:val="20"/>
        </w:rPr>
        <w:t>chưng</w:t>
      </w:r>
      <w:proofErr w:type="gramEnd"/>
      <w:r w:rsidR="0079700B" w:rsidRPr="00AD2139">
        <w:rPr>
          <w:rFonts w:ascii="Arial" w:hAnsi="Arial" w:cs="Arial"/>
          <w:sz w:val="20"/>
          <w:szCs w:val="20"/>
        </w:rPr>
        <w:t xml:space="preserve"> áp, có thể kích hoạt được SiO</w:t>
      </w:r>
      <w:r w:rsidR="0079700B" w:rsidRPr="00AD2139">
        <w:rPr>
          <w:rFonts w:ascii="Arial" w:hAnsi="Arial" w:cs="Arial"/>
          <w:sz w:val="20"/>
          <w:szCs w:val="20"/>
          <w:vertAlign w:val="subscript"/>
        </w:rPr>
        <w:t>2</w:t>
      </w:r>
      <w:r w:rsidR="0079700B" w:rsidRPr="00AD2139">
        <w:rPr>
          <w:rFonts w:ascii="Arial" w:hAnsi="Arial" w:cs="Arial"/>
          <w:sz w:val="20"/>
          <w:szCs w:val="20"/>
        </w:rPr>
        <w:t xml:space="preserve"> trong bùn đỏ tham gia phản ứng. Mức độ kích hoạt phụ thuộc vào thời gian và nhiệt độ gia công. </w:t>
      </w:r>
      <w:r w:rsidR="008E280F" w:rsidRPr="00AD2139">
        <w:rPr>
          <w:rFonts w:ascii="Arial" w:hAnsi="Arial" w:cs="Arial"/>
          <w:sz w:val="20"/>
          <w:szCs w:val="20"/>
        </w:rPr>
        <w:t>Tăng thời gian hoặc nhiệt độ gia công là tăng tỷ lệ SiO</w:t>
      </w:r>
      <w:r w:rsidR="008E280F" w:rsidRPr="00AD2139">
        <w:rPr>
          <w:rFonts w:ascii="Arial" w:hAnsi="Arial" w:cs="Arial"/>
          <w:sz w:val="20"/>
          <w:szCs w:val="20"/>
          <w:vertAlign w:val="subscript"/>
        </w:rPr>
        <w:t>2</w:t>
      </w:r>
      <w:r w:rsidR="008E280F" w:rsidRPr="00AD2139">
        <w:rPr>
          <w:rFonts w:ascii="Arial" w:hAnsi="Arial" w:cs="Arial"/>
          <w:sz w:val="20"/>
          <w:szCs w:val="20"/>
        </w:rPr>
        <w:t xml:space="preserve"> hòa tan</w:t>
      </w:r>
      <w:r w:rsidR="00002931" w:rsidRPr="00AD2139">
        <w:rPr>
          <w:rFonts w:ascii="Arial" w:hAnsi="Arial" w:cs="Arial"/>
          <w:sz w:val="20"/>
          <w:szCs w:val="20"/>
        </w:rPr>
        <w:t xml:space="preserve"> hay SiO</w:t>
      </w:r>
      <w:r w:rsidR="00002931" w:rsidRPr="00AD2139">
        <w:rPr>
          <w:rFonts w:ascii="Arial" w:hAnsi="Arial" w:cs="Arial"/>
          <w:sz w:val="20"/>
          <w:szCs w:val="20"/>
          <w:vertAlign w:val="subscript"/>
        </w:rPr>
        <w:t>2</w:t>
      </w:r>
      <w:r w:rsidR="00002931" w:rsidRPr="00AD2139">
        <w:rPr>
          <w:rFonts w:ascii="Arial" w:hAnsi="Arial" w:cs="Arial"/>
          <w:sz w:val="20"/>
          <w:szCs w:val="20"/>
        </w:rPr>
        <w:t xml:space="preserve"> hoạt tính</w:t>
      </w:r>
      <w:r w:rsidR="008E280F" w:rsidRPr="00AD2139">
        <w:rPr>
          <w:rFonts w:ascii="Arial" w:hAnsi="Arial" w:cs="Arial"/>
          <w:sz w:val="20"/>
          <w:szCs w:val="20"/>
        </w:rPr>
        <w:t>, thúc đẩy các phản ứng tạo liên kết hình thành cấu trúc và cường độ.</w:t>
      </w:r>
      <w:r w:rsidR="00002931" w:rsidRPr="00AD2139">
        <w:rPr>
          <w:rFonts w:ascii="Arial" w:hAnsi="Arial" w:cs="Arial"/>
          <w:sz w:val="20"/>
          <w:szCs w:val="20"/>
        </w:rPr>
        <w:t xml:space="preserve"> </w:t>
      </w:r>
      <w:r w:rsidR="00033540" w:rsidRPr="00AD2139">
        <w:rPr>
          <w:rFonts w:ascii="Arial" w:hAnsi="Arial" w:cs="Arial"/>
          <w:sz w:val="20"/>
          <w:szCs w:val="20"/>
        </w:rPr>
        <w:t>B</w:t>
      </w:r>
      <w:r w:rsidR="00002931" w:rsidRPr="00AD2139">
        <w:rPr>
          <w:rFonts w:ascii="Arial" w:hAnsi="Arial" w:cs="Arial"/>
          <w:sz w:val="20"/>
          <w:szCs w:val="20"/>
        </w:rPr>
        <w:t>ản thân bùn đỏ khi được</w:t>
      </w:r>
      <w:r w:rsidR="008E280F" w:rsidRPr="00AD2139">
        <w:rPr>
          <w:rFonts w:ascii="Arial" w:hAnsi="Arial" w:cs="Arial"/>
          <w:sz w:val="20"/>
          <w:szCs w:val="20"/>
        </w:rPr>
        <w:t xml:space="preserve"> </w:t>
      </w:r>
      <w:r w:rsidR="00002931" w:rsidRPr="00AD2139">
        <w:rPr>
          <w:rFonts w:ascii="Arial" w:hAnsi="Arial" w:cs="Arial"/>
          <w:sz w:val="20"/>
          <w:szCs w:val="20"/>
        </w:rPr>
        <w:t>kích hoạt ở chế độ gia công thích hợp có thể đạt cường độ chịu nén trên 10 MPa. Tuy nhiên, hệ số hóa mềm không lớn hơn 0</w:t>
      </w:r>
      <w:proofErr w:type="gramStart"/>
      <w:r w:rsidR="00002931" w:rsidRPr="00AD2139">
        <w:rPr>
          <w:rFonts w:ascii="Arial" w:hAnsi="Arial" w:cs="Arial"/>
          <w:sz w:val="20"/>
          <w:szCs w:val="20"/>
        </w:rPr>
        <w:t>,75</w:t>
      </w:r>
      <w:proofErr w:type="gramEnd"/>
      <w:r w:rsidR="00002931" w:rsidRPr="00AD2139">
        <w:rPr>
          <w:rFonts w:ascii="Arial" w:hAnsi="Arial" w:cs="Arial"/>
          <w:sz w:val="20"/>
          <w:szCs w:val="20"/>
        </w:rPr>
        <w:t>. Để nâng cao chất lượng vật liệu, cần cung cấp lượng SiO</w:t>
      </w:r>
      <w:r w:rsidR="00002931" w:rsidRPr="00AD2139">
        <w:rPr>
          <w:rFonts w:ascii="Arial" w:hAnsi="Arial" w:cs="Arial"/>
          <w:sz w:val="20"/>
          <w:szCs w:val="20"/>
          <w:vertAlign w:val="subscript"/>
        </w:rPr>
        <w:t>2</w:t>
      </w:r>
      <w:r w:rsidR="00002931" w:rsidRPr="00AD2139">
        <w:rPr>
          <w:rFonts w:ascii="Arial" w:hAnsi="Arial" w:cs="Arial"/>
          <w:sz w:val="20"/>
          <w:szCs w:val="20"/>
        </w:rPr>
        <w:t xml:space="preserve"> bổ sung thông qua việc sử dụng tro bay. Khi đó cường độ chịu nén của vật liệu có thể đạt trên 20 MPa với hệ số hóa mềm lên đến 0</w:t>
      </w:r>
      <w:proofErr w:type="gramStart"/>
      <w:r w:rsidR="00002931" w:rsidRPr="00AD2139">
        <w:rPr>
          <w:rFonts w:ascii="Arial" w:hAnsi="Arial" w:cs="Arial"/>
          <w:sz w:val="20"/>
          <w:szCs w:val="20"/>
        </w:rPr>
        <w:t>,90</w:t>
      </w:r>
      <w:proofErr w:type="gramEnd"/>
      <w:r w:rsidR="00002931" w:rsidRPr="00AD2139">
        <w:rPr>
          <w:rFonts w:ascii="Arial" w:hAnsi="Arial" w:cs="Arial"/>
          <w:sz w:val="20"/>
          <w:szCs w:val="20"/>
        </w:rPr>
        <w:t xml:space="preserve"> và độ pH nhỏ hơn 10</w:t>
      </w:r>
      <w:r w:rsidR="00033540" w:rsidRPr="00AD2139">
        <w:rPr>
          <w:rFonts w:ascii="Arial" w:hAnsi="Arial" w:cs="Arial"/>
          <w:sz w:val="20"/>
          <w:szCs w:val="20"/>
        </w:rPr>
        <w:t xml:space="preserve"> [</w:t>
      </w:r>
      <w:r w:rsidR="00DD0F00" w:rsidRPr="00AD2139">
        <w:rPr>
          <w:rFonts w:ascii="Arial" w:hAnsi="Arial" w:cs="Arial"/>
          <w:sz w:val="20"/>
          <w:szCs w:val="20"/>
        </w:rPr>
        <w:t>8</w:t>
      </w:r>
      <w:r w:rsidR="00033540" w:rsidRPr="00AD2139">
        <w:rPr>
          <w:rFonts w:ascii="Arial" w:hAnsi="Arial" w:cs="Arial"/>
          <w:sz w:val="20"/>
          <w:szCs w:val="20"/>
        </w:rPr>
        <w:t>]</w:t>
      </w:r>
      <w:r w:rsidR="00002931" w:rsidRPr="00AD2139">
        <w:rPr>
          <w:rFonts w:ascii="Arial" w:hAnsi="Arial" w:cs="Arial"/>
          <w:sz w:val="20"/>
          <w:szCs w:val="20"/>
        </w:rPr>
        <w:t xml:space="preserve">. </w:t>
      </w:r>
    </w:p>
    <w:p w:rsidR="00B577B2" w:rsidRPr="00AD2139" w:rsidRDefault="00002931" w:rsidP="00AD2139">
      <w:pPr>
        <w:spacing w:before="0" w:after="120" w:line="280" w:lineRule="exact"/>
        <w:jc w:val="both"/>
        <w:rPr>
          <w:rFonts w:ascii="Arial" w:hAnsi="Arial" w:cs="Arial"/>
          <w:sz w:val="20"/>
          <w:szCs w:val="20"/>
        </w:rPr>
      </w:pPr>
      <w:r w:rsidRPr="00AD2139">
        <w:rPr>
          <w:rFonts w:ascii="Arial" w:hAnsi="Arial" w:cs="Arial"/>
          <w:sz w:val="20"/>
          <w:szCs w:val="20"/>
        </w:rPr>
        <w:tab/>
        <w:t xml:space="preserve">Phân tích thống kê các kết quả thí nghiệm cho thấy </w:t>
      </w:r>
      <w:r w:rsidR="008E280F" w:rsidRPr="00AD2139">
        <w:rPr>
          <w:rFonts w:ascii="Arial" w:hAnsi="Arial" w:cs="Arial"/>
          <w:sz w:val="20"/>
          <w:szCs w:val="20"/>
        </w:rPr>
        <w:t xml:space="preserve">cường độ chịu nén của vật liệu có tương quan tuyến tính đồng biến với </w:t>
      </w:r>
      <w:r w:rsidRPr="00AD2139">
        <w:rPr>
          <w:rFonts w:ascii="Arial" w:hAnsi="Arial" w:cs="Arial"/>
          <w:sz w:val="20"/>
          <w:szCs w:val="20"/>
        </w:rPr>
        <w:t>tổng lượng SiO</w:t>
      </w:r>
      <w:r w:rsidRPr="00AD2139">
        <w:rPr>
          <w:rFonts w:ascii="Arial" w:hAnsi="Arial" w:cs="Arial"/>
          <w:sz w:val="20"/>
          <w:szCs w:val="20"/>
          <w:vertAlign w:val="subscript"/>
        </w:rPr>
        <w:t>2</w:t>
      </w:r>
      <w:r w:rsidRPr="00AD2139">
        <w:rPr>
          <w:rFonts w:ascii="Arial" w:hAnsi="Arial" w:cs="Arial"/>
          <w:sz w:val="20"/>
          <w:szCs w:val="20"/>
        </w:rPr>
        <w:t xml:space="preserve"> hòa tan trong 1m³ hỗn hợp</w:t>
      </w:r>
      <w:r w:rsidR="0064110B" w:rsidRPr="00AD2139">
        <w:rPr>
          <w:rFonts w:ascii="Arial" w:hAnsi="Arial" w:cs="Arial"/>
          <w:sz w:val="20"/>
          <w:szCs w:val="20"/>
        </w:rPr>
        <w:t xml:space="preserve"> (h</w:t>
      </w:r>
      <w:r w:rsidR="008E280F" w:rsidRPr="00AD2139">
        <w:rPr>
          <w:rFonts w:ascii="Arial" w:hAnsi="Arial" w:cs="Arial"/>
          <w:sz w:val="20"/>
          <w:szCs w:val="20"/>
        </w:rPr>
        <w:t xml:space="preserve">ình 1). </w:t>
      </w:r>
      <w:r w:rsidR="001515ED" w:rsidRPr="00AD2139">
        <w:rPr>
          <w:rFonts w:ascii="Arial" w:hAnsi="Arial" w:cs="Arial"/>
          <w:sz w:val="20"/>
          <w:szCs w:val="20"/>
        </w:rPr>
        <w:t xml:space="preserve">Tương quan này có thể sử dụng trong lựa chọn thành phần </w:t>
      </w:r>
      <w:r w:rsidR="00033540" w:rsidRPr="00AD2139">
        <w:rPr>
          <w:rFonts w:ascii="Arial" w:hAnsi="Arial" w:cs="Arial"/>
          <w:sz w:val="20"/>
          <w:szCs w:val="20"/>
        </w:rPr>
        <w:t xml:space="preserve">geopolymer </w:t>
      </w:r>
      <w:r w:rsidR="001515ED" w:rsidRPr="00AD2139">
        <w:rPr>
          <w:rFonts w:ascii="Arial" w:hAnsi="Arial" w:cs="Arial"/>
          <w:sz w:val="20"/>
          <w:szCs w:val="20"/>
        </w:rPr>
        <w:t>trên cơ sở bùn đỏ và bùn đỏ - tro bay.</w:t>
      </w:r>
    </w:p>
    <w:p w:rsidR="00B577B2" w:rsidRPr="00AD2139" w:rsidRDefault="00B577B2" w:rsidP="00B577B2">
      <w:pPr>
        <w:spacing w:before="0" w:after="120" w:line="300" w:lineRule="exact"/>
        <w:jc w:val="both"/>
        <w:rPr>
          <w:rFonts w:ascii="Arial" w:hAnsi="Arial" w:cs="Arial"/>
          <w:sz w:val="20"/>
          <w:szCs w:val="20"/>
        </w:rPr>
        <w:sectPr w:rsidR="00B577B2" w:rsidRPr="00AD2139" w:rsidSect="00B577B2">
          <w:type w:val="continuous"/>
          <w:pgSz w:w="11907" w:h="16840" w:code="9"/>
          <w:pgMar w:top="1134" w:right="851" w:bottom="1134" w:left="1418" w:header="720" w:footer="720" w:gutter="0"/>
          <w:cols w:num="2" w:space="340"/>
          <w:docGrid w:linePitch="360"/>
        </w:sectPr>
      </w:pPr>
    </w:p>
    <w:p w:rsidR="00AC7CC5" w:rsidRPr="00AD2139" w:rsidRDefault="00A72252" w:rsidP="00AD2139">
      <w:pPr>
        <w:spacing w:before="0" w:line="140" w:lineRule="exact"/>
        <w:jc w:val="both"/>
        <w:rPr>
          <w:rFonts w:ascii="Arial" w:hAnsi="Arial" w:cs="Arial"/>
          <w:sz w:val="20"/>
          <w:szCs w:val="20"/>
        </w:rPr>
      </w:pPr>
      <w:r w:rsidRPr="00AD2139">
        <w:rPr>
          <w:rFonts w:ascii="Arial" w:hAnsi="Arial" w:cs="Arial"/>
          <w:sz w:val="20"/>
          <w:szCs w:val="20"/>
        </w:rPr>
        <w:lastRenderedPageBreak/>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D2139" w:rsidRPr="00AD2139" w:rsidTr="00DD0373">
        <w:tc>
          <w:tcPr>
            <w:tcW w:w="9576" w:type="dxa"/>
          </w:tcPr>
          <w:p w:rsidR="00002931" w:rsidRPr="00AD2139" w:rsidRDefault="00002931" w:rsidP="00A6535C">
            <w:pPr>
              <w:jc w:val="center"/>
              <w:rPr>
                <w:rFonts w:ascii="Arial" w:hAnsi="Arial" w:cs="Arial"/>
                <w:sz w:val="20"/>
                <w:szCs w:val="20"/>
              </w:rPr>
            </w:pPr>
            <w:r w:rsidRPr="00AD2139">
              <w:rPr>
                <w:rFonts w:ascii="Arial" w:hAnsi="Arial" w:cs="Arial"/>
                <w:noProof/>
                <w:sz w:val="20"/>
                <w:szCs w:val="20"/>
              </w:rPr>
              <w:drawing>
                <wp:inline distT="0" distB="0" distL="0" distR="0">
                  <wp:extent cx="3180715" cy="2409190"/>
                  <wp:effectExtent l="0" t="0" r="0" b="0"/>
                  <wp:docPr id="2"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AD2139" w:rsidRPr="00AD2139" w:rsidTr="00DD0373">
        <w:tc>
          <w:tcPr>
            <w:tcW w:w="9576" w:type="dxa"/>
          </w:tcPr>
          <w:p w:rsidR="000F652B" w:rsidRPr="00AD2139" w:rsidRDefault="00002931" w:rsidP="00DD0373">
            <w:pPr>
              <w:jc w:val="center"/>
              <w:rPr>
                <w:rFonts w:ascii="Arial" w:hAnsi="Arial" w:cs="Arial"/>
                <w:i/>
                <w:sz w:val="18"/>
                <w:szCs w:val="18"/>
              </w:rPr>
            </w:pPr>
            <w:r w:rsidRPr="00AD2139">
              <w:rPr>
                <w:rFonts w:ascii="Arial" w:hAnsi="Arial" w:cs="Arial"/>
                <w:b/>
                <w:sz w:val="18"/>
                <w:szCs w:val="18"/>
              </w:rPr>
              <w:t>Hình 1.</w:t>
            </w:r>
            <w:r w:rsidRPr="00AD2139">
              <w:rPr>
                <w:rFonts w:ascii="Arial" w:hAnsi="Arial" w:cs="Arial"/>
                <w:sz w:val="18"/>
                <w:szCs w:val="18"/>
              </w:rPr>
              <w:t xml:space="preserve"> </w:t>
            </w:r>
            <w:r w:rsidRPr="00AD2139">
              <w:rPr>
                <w:rFonts w:ascii="Arial" w:hAnsi="Arial" w:cs="Arial"/>
                <w:i/>
                <w:sz w:val="18"/>
                <w:szCs w:val="18"/>
              </w:rPr>
              <w:t>Tương quan giữa SiO</w:t>
            </w:r>
            <w:r w:rsidRPr="00AD2139">
              <w:rPr>
                <w:rFonts w:ascii="Arial" w:hAnsi="Arial" w:cs="Arial"/>
                <w:i/>
                <w:sz w:val="18"/>
                <w:szCs w:val="18"/>
                <w:vertAlign w:val="subscript"/>
              </w:rPr>
              <w:t>2</w:t>
            </w:r>
            <w:r w:rsidRPr="00AD2139">
              <w:rPr>
                <w:rFonts w:ascii="Arial" w:hAnsi="Arial" w:cs="Arial"/>
                <w:i/>
                <w:sz w:val="18"/>
                <w:szCs w:val="18"/>
              </w:rPr>
              <w:t xml:space="preserve"> hoạt tính và cường độ</w:t>
            </w:r>
          </w:p>
        </w:tc>
      </w:tr>
    </w:tbl>
    <w:p w:rsidR="00DD0373" w:rsidRPr="00AD2139" w:rsidRDefault="00002931" w:rsidP="00AD2139">
      <w:pPr>
        <w:spacing w:before="0" w:line="140" w:lineRule="exact"/>
        <w:jc w:val="both"/>
        <w:rPr>
          <w:rFonts w:ascii="Arial" w:hAnsi="Arial" w:cs="Arial"/>
          <w:sz w:val="20"/>
          <w:szCs w:val="20"/>
        </w:rPr>
        <w:sectPr w:rsidR="00DD0373" w:rsidRPr="00AD2139" w:rsidSect="00B577B2">
          <w:type w:val="continuous"/>
          <w:pgSz w:w="11907" w:h="16840" w:code="9"/>
          <w:pgMar w:top="1134" w:right="851" w:bottom="1134" w:left="1418" w:header="720" w:footer="720" w:gutter="0"/>
          <w:cols w:space="708"/>
          <w:docGrid w:linePitch="360"/>
        </w:sectPr>
      </w:pPr>
      <w:r w:rsidRPr="00AD2139">
        <w:rPr>
          <w:rFonts w:ascii="Arial" w:hAnsi="Arial" w:cs="Arial"/>
          <w:sz w:val="20"/>
          <w:szCs w:val="20"/>
        </w:rPr>
        <w:tab/>
      </w:r>
      <w:r w:rsidR="009F59BF" w:rsidRPr="00AD2139">
        <w:rPr>
          <w:rFonts w:ascii="Arial" w:hAnsi="Arial" w:cs="Arial"/>
          <w:sz w:val="20"/>
          <w:szCs w:val="20"/>
        </w:rPr>
        <w:t xml:space="preserve"> </w:t>
      </w:r>
    </w:p>
    <w:p w:rsidR="008E280F" w:rsidRPr="00AD2139" w:rsidRDefault="001515ED" w:rsidP="00AD2139">
      <w:pPr>
        <w:spacing w:before="0" w:after="120" w:line="280" w:lineRule="exact"/>
        <w:ind w:firstLine="340"/>
        <w:jc w:val="both"/>
        <w:rPr>
          <w:rFonts w:ascii="Arial" w:hAnsi="Arial" w:cs="Arial"/>
          <w:sz w:val="20"/>
          <w:szCs w:val="20"/>
        </w:rPr>
      </w:pPr>
      <w:r w:rsidRPr="00AD2139">
        <w:rPr>
          <w:rFonts w:ascii="Arial" w:hAnsi="Arial" w:cs="Arial"/>
          <w:sz w:val="20"/>
          <w:szCs w:val="20"/>
        </w:rPr>
        <w:lastRenderedPageBreak/>
        <w:t xml:space="preserve">Các kết quả nghiên cứu trên đã cho thấy có thể sử dụng bùn đỏ và bùn đỏ phối hợp với tro bay để chế tạo </w:t>
      </w:r>
      <w:r w:rsidR="00DF46A9" w:rsidRPr="00AD2139">
        <w:rPr>
          <w:rFonts w:ascii="Arial" w:hAnsi="Arial" w:cs="Arial"/>
          <w:sz w:val="20"/>
          <w:szCs w:val="20"/>
        </w:rPr>
        <w:t xml:space="preserve">geopolymer </w:t>
      </w:r>
      <w:r w:rsidRPr="00AD2139">
        <w:rPr>
          <w:rFonts w:ascii="Arial" w:hAnsi="Arial" w:cs="Arial"/>
          <w:sz w:val="20"/>
          <w:szCs w:val="20"/>
        </w:rPr>
        <w:t xml:space="preserve">làm gạch không nung. Các nghiên cứu tiếp </w:t>
      </w:r>
      <w:proofErr w:type="gramStart"/>
      <w:r w:rsidRPr="00AD2139">
        <w:rPr>
          <w:rFonts w:ascii="Arial" w:hAnsi="Arial" w:cs="Arial"/>
          <w:sz w:val="20"/>
          <w:szCs w:val="20"/>
        </w:rPr>
        <w:t>theo</w:t>
      </w:r>
      <w:proofErr w:type="gramEnd"/>
      <w:r w:rsidRPr="00AD2139">
        <w:rPr>
          <w:rFonts w:ascii="Arial" w:hAnsi="Arial" w:cs="Arial"/>
          <w:sz w:val="20"/>
          <w:szCs w:val="20"/>
        </w:rPr>
        <w:t xml:space="preserve"> tập trung vào việc xây dựng các chỉ tiêu kỹ thuật đối với sản phẩm, nghiên cứu các tính chất của gạch không nung</w:t>
      </w:r>
      <w:r w:rsidR="000D347D" w:rsidRPr="00AD2139">
        <w:rPr>
          <w:rFonts w:ascii="Arial" w:hAnsi="Arial" w:cs="Arial"/>
          <w:sz w:val="20"/>
          <w:szCs w:val="20"/>
        </w:rPr>
        <w:t xml:space="preserve"> kích hoạt kiềm</w:t>
      </w:r>
      <w:r w:rsidRPr="00AD2139">
        <w:rPr>
          <w:rFonts w:ascii="Arial" w:hAnsi="Arial" w:cs="Arial"/>
          <w:sz w:val="20"/>
          <w:szCs w:val="20"/>
        </w:rPr>
        <w:t xml:space="preserve"> và triển khai sản xuất ở quy mô công nghiệp.</w:t>
      </w:r>
    </w:p>
    <w:p w:rsidR="00AC7CC5" w:rsidRPr="00AD2139" w:rsidRDefault="000F394A" w:rsidP="00DD0373">
      <w:pPr>
        <w:spacing w:before="0" w:after="120" w:line="300" w:lineRule="exact"/>
        <w:jc w:val="both"/>
        <w:rPr>
          <w:rFonts w:ascii="Arial" w:hAnsi="Arial" w:cs="Arial"/>
          <w:b/>
          <w:sz w:val="20"/>
          <w:szCs w:val="20"/>
        </w:rPr>
      </w:pPr>
      <w:r w:rsidRPr="00AD2139">
        <w:rPr>
          <w:rFonts w:ascii="Arial" w:hAnsi="Arial" w:cs="Arial"/>
          <w:b/>
          <w:sz w:val="20"/>
          <w:szCs w:val="20"/>
        </w:rPr>
        <w:lastRenderedPageBreak/>
        <w:t>2</w:t>
      </w:r>
      <w:r w:rsidR="00AC7CC5" w:rsidRPr="00AD2139">
        <w:rPr>
          <w:rFonts w:ascii="Arial" w:hAnsi="Arial" w:cs="Arial"/>
          <w:b/>
          <w:sz w:val="20"/>
          <w:szCs w:val="20"/>
        </w:rPr>
        <w:t xml:space="preserve">. </w:t>
      </w:r>
      <w:r w:rsidR="001515ED" w:rsidRPr="00AD2139">
        <w:rPr>
          <w:rFonts w:ascii="Arial" w:hAnsi="Arial" w:cs="Arial"/>
          <w:b/>
          <w:sz w:val="20"/>
          <w:szCs w:val="20"/>
        </w:rPr>
        <w:t>C</w:t>
      </w:r>
      <w:r w:rsidRPr="00AD2139">
        <w:rPr>
          <w:rFonts w:ascii="Arial" w:hAnsi="Arial" w:cs="Arial"/>
          <w:b/>
          <w:sz w:val="20"/>
          <w:szCs w:val="20"/>
        </w:rPr>
        <w:t xml:space="preserve">hỉ tiêu kỹ thuật đối với gạch không nung </w:t>
      </w:r>
      <w:r w:rsidR="00DF46A9" w:rsidRPr="00AD2139">
        <w:rPr>
          <w:rFonts w:ascii="Arial" w:hAnsi="Arial" w:cs="Arial"/>
          <w:b/>
          <w:sz w:val="20"/>
          <w:szCs w:val="20"/>
        </w:rPr>
        <w:t>geopolymer</w:t>
      </w:r>
      <w:r w:rsidR="004C6E56" w:rsidRPr="00AD2139">
        <w:rPr>
          <w:rFonts w:ascii="Arial" w:hAnsi="Arial" w:cs="Arial"/>
          <w:b/>
          <w:sz w:val="20"/>
          <w:szCs w:val="20"/>
        </w:rPr>
        <w:t xml:space="preserve"> sử dụng</w:t>
      </w:r>
      <w:r w:rsidRPr="00AD2139">
        <w:rPr>
          <w:rFonts w:ascii="Arial" w:hAnsi="Arial" w:cs="Arial"/>
          <w:b/>
          <w:sz w:val="20"/>
          <w:szCs w:val="20"/>
        </w:rPr>
        <w:t xml:space="preserve"> bùn đỏ</w:t>
      </w:r>
    </w:p>
    <w:p w:rsidR="00E83AEC" w:rsidRPr="00AD2139" w:rsidRDefault="00E83AEC" w:rsidP="00DD0373">
      <w:pPr>
        <w:spacing w:before="0" w:after="120" w:line="300" w:lineRule="exact"/>
        <w:jc w:val="both"/>
        <w:rPr>
          <w:rFonts w:ascii="Arial" w:hAnsi="Arial" w:cs="Arial"/>
          <w:sz w:val="20"/>
          <w:szCs w:val="20"/>
        </w:rPr>
      </w:pPr>
      <w:r w:rsidRPr="00AD2139">
        <w:rPr>
          <w:rFonts w:ascii="Arial" w:hAnsi="Arial" w:cs="Arial"/>
          <w:sz w:val="20"/>
          <w:szCs w:val="20"/>
        </w:rPr>
        <w:tab/>
        <w:t xml:space="preserve">Gạch không nung </w:t>
      </w:r>
      <w:r w:rsidR="00DF46A9" w:rsidRPr="00AD2139">
        <w:rPr>
          <w:rFonts w:ascii="Arial" w:hAnsi="Arial" w:cs="Arial"/>
          <w:sz w:val="20"/>
          <w:szCs w:val="20"/>
        </w:rPr>
        <w:t>geopolymer</w:t>
      </w:r>
      <w:r w:rsidR="00EB4BCF" w:rsidRPr="00AD2139">
        <w:rPr>
          <w:rFonts w:ascii="Arial" w:hAnsi="Arial" w:cs="Arial"/>
          <w:sz w:val="20"/>
          <w:szCs w:val="20"/>
        </w:rPr>
        <w:t xml:space="preserve"> sử dụng</w:t>
      </w:r>
      <w:r w:rsidRPr="00AD2139">
        <w:rPr>
          <w:rFonts w:ascii="Arial" w:hAnsi="Arial" w:cs="Arial"/>
          <w:sz w:val="20"/>
          <w:szCs w:val="20"/>
        </w:rPr>
        <w:t xml:space="preserve"> bùn đỏ là sản phẩm mới có các đặc điểm riêng liên quan đến bản chất vật liệu và quá trình chế tạo. Do đó, việc xây dựng bộ chỉ tiêu kỹ thuật </w:t>
      </w:r>
      <w:r w:rsidR="00EB4BCF" w:rsidRPr="00AD2139">
        <w:rPr>
          <w:rFonts w:ascii="Arial" w:hAnsi="Arial" w:cs="Arial"/>
          <w:sz w:val="20"/>
          <w:szCs w:val="20"/>
        </w:rPr>
        <w:t xml:space="preserve">riêng </w:t>
      </w:r>
      <w:r w:rsidRPr="00AD2139">
        <w:rPr>
          <w:rFonts w:ascii="Arial" w:hAnsi="Arial" w:cs="Arial"/>
          <w:sz w:val="20"/>
          <w:szCs w:val="20"/>
        </w:rPr>
        <w:t xml:space="preserve">cho sản </w:t>
      </w:r>
      <w:r w:rsidRPr="00AD2139">
        <w:rPr>
          <w:rFonts w:ascii="Arial" w:hAnsi="Arial" w:cs="Arial"/>
          <w:sz w:val="20"/>
          <w:szCs w:val="20"/>
        </w:rPr>
        <w:lastRenderedPageBreak/>
        <w:t xml:space="preserve">phẩm là cần thiết. Các yêu cầu này </w:t>
      </w:r>
      <w:r w:rsidR="00EB4BCF" w:rsidRPr="00AD2139">
        <w:rPr>
          <w:rFonts w:ascii="Arial" w:hAnsi="Arial" w:cs="Arial"/>
          <w:sz w:val="20"/>
          <w:szCs w:val="20"/>
        </w:rPr>
        <w:t xml:space="preserve">được </w:t>
      </w:r>
      <w:r w:rsidRPr="00AD2139">
        <w:rPr>
          <w:rFonts w:ascii="Arial" w:hAnsi="Arial" w:cs="Arial"/>
          <w:sz w:val="20"/>
          <w:szCs w:val="20"/>
        </w:rPr>
        <w:t xml:space="preserve">xác định dựa trên các quy định hiện hành trong các tiêu chuẩn kỹ thuật cho các vật liệu xây tương đương cũng như các quy định riêng đối với </w:t>
      </w:r>
      <w:r w:rsidR="00DF46A9" w:rsidRPr="00AD2139">
        <w:rPr>
          <w:rFonts w:ascii="Arial" w:hAnsi="Arial" w:cs="Arial"/>
          <w:sz w:val="20"/>
          <w:szCs w:val="20"/>
        </w:rPr>
        <w:t>geopolymer</w:t>
      </w:r>
      <w:r w:rsidR="00EB4BCF" w:rsidRPr="00AD2139">
        <w:rPr>
          <w:rFonts w:ascii="Arial" w:hAnsi="Arial" w:cs="Arial"/>
          <w:sz w:val="20"/>
          <w:szCs w:val="20"/>
        </w:rPr>
        <w:t xml:space="preserve"> sử dụng</w:t>
      </w:r>
      <w:r w:rsidRPr="00AD2139">
        <w:rPr>
          <w:rFonts w:ascii="Arial" w:hAnsi="Arial" w:cs="Arial"/>
          <w:sz w:val="20"/>
          <w:szCs w:val="20"/>
        </w:rPr>
        <w:t xml:space="preserve"> bùn đỏ</w:t>
      </w:r>
      <w:r w:rsidR="0064110B" w:rsidRPr="00AD2139">
        <w:rPr>
          <w:rFonts w:ascii="Arial" w:hAnsi="Arial" w:cs="Arial"/>
          <w:sz w:val="20"/>
          <w:szCs w:val="20"/>
        </w:rPr>
        <w:t>.</w:t>
      </w:r>
    </w:p>
    <w:p w:rsidR="00E83AEC" w:rsidRPr="00AD2139" w:rsidRDefault="00E83AEC" w:rsidP="00DD0373">
      <w:pPr>
        <w:spacing w:before="0" w:after="120" w:line="300" w:lineRule="exact"/>
        <w:jc w:val="both"/>
        <w:rPr>
          <w:rFonts w:ascii="Arial" w:hAnsi="Arial" w:cs="Arial"/>
          <w:b/>
          <w:i/>
          <w:sz w:val="20"/>
          <w:szCs w:val="20"/>
        </w:rPr>
      </w:pPr>
      <w:r w:rsidRPr="00AD2139">
        <w:rPr>
          <w:rFonts w:ascii="Arial" w:hAnsi="Arial" w:cs="Arial"/>
          <w:b/>
          <w:i/>
          <w:sz w:val="20"/>
          <w:szCs w:val="20"/>
        </w:rPr>
        <w:t>2.1 Kích thước và các chỉ tiêu ngoại quan</w:t>
      </w:r>
    </w:p>
    <w:p w:rsidR="00E83AEC" w:rsidRPr="00AD2139" w:rsidRDefault="00E83AEC" w:rsidP="00DD0373">
      <w:pPr>
        <w:spacing w:before="0" w:after="120" w:line="300" w:lineRule="exact"/>
        <w:jc w:val="both"/>
        <w:rPr>
          <w:rFonts w:ascii="Arial" w:hAnsi="Arial" w:cs="Arial"/>
          <w:sz w:val="20"/>
          <w:szCs w:val="20"/>
        </w:rPr>
      </w:pPr>
      <w:r w:rsidRPr="00AD2139">
        <w:rPr>
          <w:rFonts w:ascii="Arial" w:hAnsi="Arial" w:cs="Arial"/>
          <w:sz w:val="20"/>
          <w:szCs w:val="20"/>
        </w:rPr>
        <w:tab/>
        <w:t xml:space="preserve">Gạch không nung </w:t>
      </w:r>
      <w:r w:rsidR="00DF46A9" w:rsidRPr="00AD2139">
        <w:rPr>
          <w:rFonts w:ascii="Arial" w:hAnsi="Arial" w:cs="Arial"/>
          <w:sz w:val="20"/>
          <w:szCs w:val="20"/>
        </w:rPr>
        <w:t>geopolymer</w:t>
      </w:r>
      <w:r w:rsidR="00EB4BCF" w:rsidRPr="00AD2139">
        <w:rPr>
          <w:rFonts w:ascii="Arial" w:hAnsi="Arial" w:cs="Arial"/>
          <w:sz w:val="20"/>
          <w:szCs w:val="20"/>
        </w:rPr>
        <w:t xml:space="preserve"> sử dụng</w:t>
      </w:r>
      <w:r w:rsidRPr="00AD2139">
        <w:rPr>
          <w:rFonts w:ascii="Arial" w:hAnsi="Arial" w:cs="Arial"/>
          <w:sz w:val="20"/>
          <w:szCs w:val="20"/>
        </w:rPr>
        <w:t xml:space="preserve"> bùn đỏ có thể được sản xuất với các kích thước khác nhau, từ kích thước của viên gạch tiêu chuẩn đến các kích thước lớn hơn như của gạch bê tông. Việc thay đổi kích thước sản phẩm có thể thực hiện một cách linh hoạt </w:t>
      </w:r>
      <w:proofErr w:type="gramStart"/>
      <w:r w:rsidRPr="00AD2139">
        <w:rPr>
          <w:rFonts w:ascii="Arial" w:hAnsi="Arial" w:cs="Arial"/>
          <w:sz w:val="20"/>
          <w:szCs w:val="20"/>
        </w:rPr>
        <w:t>theo</w:t>
      </w:r>
      <w:proofErr w:type="gramEnd"/>
      <w:r w:rsidRPr="00AD2139">
        <w:rPr>
          <w:rFonts w:ascii="Arial" w:hAnsi="Arial" w:cs="Arial"/>
          <w:sz w:val="20"/>
          <w:szCs w:val="20"/>
        </w:rPr>
        <w:t xml:space="preserve"> yêu cầu của thị trường. Trong giai đoạn đầu ứng dụng, để thuận tiện cho việc ứng dụng, có thể áp dụng kích thước của gạch đặc đất sét nung</w:t>
      </w:r>
      <w:r w:rsidR="00B60602" w:rsidRPr="00AD2139">
        <w:rPr>
          <w:rFonts w:ascii="Arial" w:hAnsi="Arial" w:cs="Arial"/>
          <w:sz w:val="20"/>
          <w:szCs w:val="20"/>
        </w:rPr>
        <w:t xml:space="preserve"> trong TCVN 1451:1998 </w:t>
      </w:r>
      <w:r w:rsidRPr="00AD2139">
        <w:rPr>
          <w:rFonts w:ascii="Arial" w:hAnsi="Arial" w:cs="Arial"/>
          <w:sz w:val="20"/>
          <w:szCs w:val="20"/>
        </w:rPr>
        <w:t xml:space="preserve">với các quy định về sai số kích thước và các yêu cầu ngoại quan khác </w:t>
      </w:r>
    </w:p>
    <w:p w:rsidR="00E83AEC" w:rsidRPr="00AD2139" w:rsidRDefault="00E83AEC" w:rsidP="00DD0373">
      <w:pPr>
        <w:spacing w:before="0" w:after="120" w:line="300" w:lineRule="exact"/>
        <w:jc w:val="both"/>
        <w:rPr>
          <w:rFonts w:ascii="Arial" w:hAnsi="Arial" w:cs="Arial"/>
          <w:b/>
          <w:i/>
          <w:sz w:val="20"/>
          <w:szCs w:val="20"/>
        </w:rPr>
      </w:pPr>
      <w:r w:rsidRPr="00AD2139">
        <w:rPr>
          <w:rFonts w:ascii="Arial" w:hAnsi="Arial" w:cs="Arial"/>
          <w:b/>
          <w:i/>
          <w:sz w:val="20"/>
          <w:szCs w:val="20"/>
        </w:rPr>
        <w:t>2.2 Cường độ chị</w:t>
      </w:r>
      <w:r w:rsidR="00961D3F" w:rsidRPr="00AD2139">
        <w:rPr>
          <w:rFonts w:ascii="Arial" w:hAnsi="Arial" w:cs="Arial"/>
          <w:b/>
          <w:i/>
          <w:sz w:val="20"/>
          <w:szCs w:val="20"/>
        </w:rPr>
        <w:t>u nén</w:t>
      </w:r>
    </w:p>
    <w:p w:rsidR="00E83AEC" w:rsidRPr="00AD2139" w:rsidRDefault="00E83AEC" w:rsidP="00DD0373">
      <w:pPr>
        <w:spacing w:before="0" w:after="120" w:line="300" w:lineRule="exact"/>
        <w:jc w:val="both"/>
        <w:rPr>
          <w:rFonts w:ascii="Arial" w:hAnsi="Arial" w:cs="Arial"/>
          <w:sz w:val="20"/>
          <w:szCs w:val="20"/>
        </w:rPr>
      </w:pPr>
      <w:r w:rsidRPr="00AD2139">
        <w:rPr>
          <w:rFonts w:ascii="Arial" w:hAnsi="Arial" w:cs="Arial"/>
          <w:sz w:val="20"/>
          <w:szCs w:val="20"/>
        </w:rPr>
        <w:tab/>
        <w:t>Các vật liệu xây hiện nay như gạch đất sét nung (TCVN 1451:1998, TCVN 1450:2009), gạch bê tông (TCVN 6477:2016) đều quy định mác gạch theo cường độ chịu nén với các mức từ M3</w:t>
      </w:r>
      <w:proofErr w:type="gramStart"/>
      <w:r w:rsidRPr="00AD2139">
        <w:rPr>
          <w:rFonts w:ascii="Arial" w:hAnsi="Arial" w:cs="Arial"/>
          <w:sz w:val="20"/>
          <w:szCs w:val="20"/>
        </w:rPr>
        <w:t>,5</w:t>
      </w:r>
      <w:proofErr w:type="gramEnd"/>
      <w:r w:rsidRPr="00AD2139">
        <w:rPr>
          <w:rFonts w:ascii="Arial" w:hAnsi="Arial" w:cs="Arial"/>
          <w:sz w:val="20"/>
          <w:szCs w:val="20"/>
        </w:rPr>
        <w:t xml:space="preserve"> đến M20. Đây là chỉ tiêu quan trọng đối</w:t>
      </w:r>
      <w:r w:rsidR="009B0DBF">
        <w:rPr>
          <w:rFonts w:ascii="Arial" w:hAnsi="Arial" w:cs="Arial"/>
          <w:sz w:val="20"/>
          <w:szCs w:val="20"/>
        </w:rPr>
        <w:t xml:space="preserve"> với</w:t>
      </w:r>
      <w:r w:rsidRPr="00AD2139">
        <w:rPr>
          <w:rFonts w:ascii="Arial" w:hAnsi="Arial" w:cs="Arial"/>
          <w:sz w:val="20"/>
          <w:szCs w:val="20"/>
        </w:rPr>
        <w:t xml:space="preserve"> viên xây, quyết định khả năng chịu lực của khối xây. </w:t>
      </w:r>
    </w:p>
    <w:p w:rsidR="00E83AEC" w:rsidRPr="00AD2139" w:rsidRDefault="00E83AEC" w:rsidP="00AD2139">
      <w:pPr>
        <w:spacing w:before="0" w:after="60" w:line="300" w:lineRule="exact"/>
        <w:jc w:val="both"/>
        <w:rPr>
          <w:rFonts w:ascii="Arial" w:hAnsi="Arial" w:cs="Arial"/>
          <w:sz w:val="20"/>
          <w:szCs w:val="20"/>
        </w:rPr>
      </w:pPr>
      <w:r w:rsidRPr="00AD2139">
        <w:rPr>
          <w:rFonts w:ascii="Arial" w:hAnsi="Arial" w:cs="Arial"/>
          <w:sz w:val="20"/>
          <w:szCs w:val="20"/>
        </w:rPr>
        <w:tab/>
        <w:t xml:space="preserve">Với gạch không nung </w:t>
      </w:r>
      <w:r w:rsidR="00DF46A9" w:rsidRPr="00AD2139">
        <w:rPr>
          <w:rFonts w:ascii="Arial" w:hAnsi="Arial" w:cs="Arial"/>
          <w:sz w:val="20"/>
          <w:szCs w:val="20"/>
        </w:rPr>
        <w:t xml:space="preserve">geopolymer </w:t>
      </w:r>
      <w:r w:rsidR="00EB4BCF" w:rsidRPr="00AD2139">
        <w:rPr>
          <w:rFonts w:ascii="Arial" w:hAnsi="Arial" w:cs="Arial"/>
          <w:sz w:val="20"/>
          <w:szCs w:val="20"/>
        </w:rPr>
        <w:t>sử dụng</w:t>
      </w:r>
      <w:r w:rsidRPr="00AD2139">
        <w:rPr>
          <w:rFonts w:ascii="Arial" w:hAnsi="Arial" w:cs="Arial"/>
          <w:sz w:val="20"/>
          <w:szCs w:val="20"/>
        </w:rPr>
        <w:t xml:space="preserve"> bùn đỏ, có thể áp dụng việc phân loại này với các mức cường độ M3,5; M5,0; M7,5; M10;</w:t>
      </w:r>
      <w:r w:rsidR="00B60602" w:rsidRPr="00AD2139">
        <w:rPr>
          <w:rFonts w:ascii="Arial" w:hAnsi="Arial" w:cs="Arial"/>
          <w:sz w:val="20"/>
          <w:szCs w:val="20"/>
        </w:rPr>
        <w:t xml:space="preserve"> M12,5;</w:t>
      </w:r>
      <w:r w:rsidRPr="00AD2139">
        <w:rPr>
          <w:rFonts w:ascii="Arial" w:hAnsi="Arial" w:cs="Arial"/>
          <w:sz w:val="20"/>
          <w:szCs w:val="20"/>
        </w:rPr>
        <w:t xml:space="preserve"> M15</w:t>
      </w:r>
      <w:r w:rsidR="00B60602" w:rsidRPr="00AD2139">
        <w:rPr>
          <w:rFonts w:ascii="Arial" w:hAnsi="Arial" w:cs="Arial"/>
          <w:sz w:val="20"/>
          <w:szCs w:val="20"/>
        </w:rPr>
        <w:t xml:space="preserve"> và M20. </w:t>
      </w:r>
      <w:r w:rsidR="00633DB4" w:rsidRPr="00AD2139">
        <w:rPr>
          <w:rFonts w:ascii="Arial" w:hAnsi="Arial" w:cs="Arial"/>
          <w:sz w:val="20"/>
          <w:szCs w:val="20"/>
        </w:rPr>
        <w:t xml:space="preserve">Các kết quả nghiên cứu cho thấy, </w:t>
      </w:r>
      <w:r w:rsidR="00DF46A9" w:rsidRPr="00AD2139">
        <w:rPr>
          <w:rFonts w:ascii="Arial" w:hAnsi="Arial" w:cs="Arial"/>
          <w:sz w:val="20"/>
          <w:szCs w:val="20"/>
        </w:rPr>
        <w:t xml:space="preserve">geopolymer </w:t>
      </w:r>
      <w:r w:rsidR="00633DB4" w:rsidRPr="00AD2139">
        <w:rPr>
          <w:rFonts w:ascii="Arial" w:hAnsi="Arial" w:cs="Arial"/>
          <w:sz w:val="20"/>
          <w:szCs w:val="20"/>
        </w:rPr>
        <w:t>từ bùn đỏ và bùn đỏ - tro bay hoàn toàn có thể đáp ứng yêu cầu về cường độ như trên.</w:t>
      </w:r>
    </w:p>
    <w:p w:rsidR="000F394A" w:rsidRPr="00AD2139" w:rsidRDefault="00E83AEC" w:rsidP="00AD2139">
      <w:pPr>
        <w:spacing w:before="0" w:after="60" w:line="300" w:lineRule="exact"/>
        <w:jc w:val="both"/>
        <w:rPr>
          <w:rFonts w:ascii="Arial" w:hAnsi="Arial" w:cs="Arial"/>
          <w:b/>
          <w:i/>
          <w:sz w:val="20"/>
          <w:szCs w:val="20"/>
        </w:rPr>
      </w:pPr>
      <w:r w:rsidRPr="00AD2139">
        <w:rPr>
          <w:rFonts w:ascii="Arial" w:hAnsi="Arial" w:cs="Arial"/>
          <w:b/>
          <w:i/>
          <w:sz w:val="20"/>
          <w:szCs w:val="20"/>
        </w:rPr>
        <w:t xml:space="preserve">2.3 </w:t>
      </w:r>
      <w:r w:rsidR="000F394A" w:rsidRPr="00AD2139">
        <w:rPr>
          <w:rFonts w:ascii="Arial" w:hAnsi="Arial" w:cs="Arial"/>
          <w:b/>
          <w:i/>
          <w:sz w:val="20"/>
          <w:szCs w:val="20"/>
        </w:rPr>
        <w:t>Độ hút nước</w:t>
      </w:r>
    </w:p>
    <w:p w:rsidR="00B60602" w:rsidRPr="00AD2139" w:rsidRDefault="00B60602" w:rsidP="00AD2139">
      <w:pPr>
        <w:spacing w:before="0" w:after="60" w:line="300" w:lineRule="exact"/>
        <w:jc w:val="both"/>
        <w:rPr>
          <w:rFonts w:ascii="Arial" w:hAnsi="Arial" w:cs="Arial"/>
          <w:sz w:val="20"/>
          <w:szCs w:val="20"/>
        </w:rPr>
      </w:pPr>
      <w:r w:rsidRPr="00AD2139">
        <w:rPr>
          <w:rFonts w:ascii="Arial" w:hAnsi="Arial" w:cs="Arial"/>
          <w:sz w:val="20"/>
          <w:szCs w:val="20"/>
        </w:rPr>
        <w:tab/>
        <w:t>Độ hút nước của gạch đặc đất sét nung được quy định trong TCVN 1451:1998 là không lớn hơn 16%, của gạch bê tông mác M3</w:t>
      </w:r>
      <w:proofErr w:type="gramStart"/>
      <w:r w:rsidRPr="00AD2139">
        <w:rPr>
          <w:rFonts w:ascii="Arial" w:hAnsi="Arial" w:cs="Arial"/>
          <w:sz w:val="20"/>
          <w:szCs w:val="20"/>
        </w:rPr>
        <w:t>,5</w:t>
      </w:r>
      <w:proofErr w:type="gramEnd"/>
      <w:r w:rsidRPr="00AD2139">
        <w:rPr>
          <w:rFonts w:ascii="Arial" w:hAnsi="Arial" w:cs="Arial"/>
          <w:sz w:val="20"/>
          <w:szCs w:val="20"/>
        </w:rPr>
        <w:t xml:space="preserve"> và M5,0 là không lớn hơn 14% còn đối với gạch bê tông M7,5 trở lên là không lớn hơn 12%.</w:t>
      </w:r>
    </w:p>
    <w:p w:rsidR="003D63B7" w:rsidRPr="00AD2139" w:rsidRDefault="003D63B7" w:rsidP="00DD0373">
      <w:pPr>
        <w:spacing w:before="0" w:after="120" w:line="300" w:lineRule="exact"/>
        <w:jc w:val="both"/>
        <w:rPr>
          <w:rFonts w:ascii="Arial" w:hAnsi="Arial" w:cs="Arial"/>
          <w:sz w:val="20"/>
          <w:szCs w:val="20"/>
        </w:rPr>
      </w:pPr>
      <w:r w:rsidRPr="00AD2139">
        <w:rPr>
          <w:rFonts w:ascii="Arial" w:hAnsi="Arial" w:cs="Arial"/>
          <w:sz w:val="20"/>
          <w:szCs w:val="20"/>
        </w:rPr>
        <w:tab/>
      </w:r>
      <w:r w:rsidR="00633DB4" w:rsidRPr="00AD2139">
        <w:rPr>
          <w:rFonts w:ascii="Arial" w:hAnsi="Arial" w:cs="Arial"/>
          <w:sz w:val="20"/>
          <w:szCs w:val="20"/>
        </w:rPr>
        <w:t xml:space="preserve">Để tạo hình gạch không nung </w:t>
      </w:r>
      <w:r w:rsidR="00DF46A9" w:rsidRPr="00AD2139">
        <w:rPr>
          <w:rFonts w:ascii="Arial" w:hAnsi="Arial" w:cs="Arial"/>
          <w:sz w:val="20"/>
          <w:szCs w:val="20"/>
        </w:rPr>
        <w:t xml:space="preserve">geopolymer </w:t>
      </w:r>
      <w:r w:rsidR="00EB4BCF" w:rsidRPr="00AD2139">
        <w:rPr>
          <w:rFonts w:ascii="Arial" w:hAnsi="Arial" w:cs="Arial"/>
          <w:sz w:val="20"/>
          <w:szCs w:val="20"/>
        </w:rPr>
        <w:t>sử dụng</w:t>
      </w:r>
      <w:r w:rsidR="00633DB4" w:rsidRPr="00AD2139">
        <w:rPr>
          <w:rFonts w:ascii="Arial" w:hAnsi="Arial" w:cs="Arial"/>
          <w:sz w:val="20"/>
          <w:szCs w:val="20"/>
        </w:rPr>
        <w:t xml:space="preserve"> bùn đỏ có thể </w:t>
      </w:r>
      <w:r w:rsidR="00EB4BCF" w:rsidRPr="00AD2139">
        <w:rPr>
          <w:rFonts w:ascii="Arial" w:hAnsi="Arial" w:cs="Arial"/>
          <w:sz w:val="20"/>
          <w:szCs w:val="20"/>
        </w:rPr>
        <w:t>dùng</w:t>
      </w:r>
      <w:r w:rsidR="00633DB4" w:rsidRPr="00AD2139">
        <w:rPr>
          <w:rFonts w:ascii="Arial" w:hAnsi="Arial" w:cs="Arial"/>
          <w:sz w:val="20"/>
          <w:szCs w:val="20"/>
        </w:rPr>
        <w:t xml:space="preserve"> phương pháp ép bán khô </w:t>
      </w:r>
      <w:r w:rsidR="00EB4BCF" w:rsidRPr="00AD2139">
        <w:rPr>
          <w:rFonts w:ascii="Arial" w:hAnsi="Arial" w:cs="Arial"/>
          <w:sz w:val="20"/>
          <w:szCs w:val="20"/>
        </w:rPr>
        <w:t>hay</w:t>
      </w:r>
      <w:r w:rsidR="00633DB4" w:rsidRPr="00AD2139">
        <w:rPr>
          <w:rFonts w:ascii="Arial" w:hAnsi="Arial" w:cs="Arial"/>
          <w:sz w:val="20"/>
          <w:szCs w:val="20"/>
        </w:rPr>
        <w:t xml:space="preserve"> phương pháp đùn dẻo. Độ ẩm của phối liệu đầu vào khi tạo hình </w:t>
      </w:r>
      <w:proofErr w:type="gramStart"/>
      <w:r w:rsidR="00633DB4" w:rsidRPr="00AD2139">
        <w:rPr>
          <w:rFonts w:ascii="Arial" w:hAnsi="Arial" w:cs="Arial"/>
          <w:sz w:val="20"/>
          <w:szCs w:val="20"/>
        </w:rPr>
        <w:t>theo</w:t>
      </w:r>
      <w:proofErr w:type="gramEnd"/>
      <w:r w:rsidR="00633DB4" w:rsidRPr="00AD2139">
        <w:rPr>
          <w:rFonts w:ascii="Arial" w:hAnsi="Arial" w:cs="Arial"/>
          <w:sz w:val="20"/>
          <w:szCs w:val="20"/>
        </w:rPr>
        <w:t xml:space="preserve"> hai phương pháp này là khác nhau. Mặt khác, phản ứng trùng ngưng các monomer để hình thành vật liệu geopolimer có giải phóng nước. Do đó, với cùng độ ẩm tạo hình, độ rỗng của vật liệu </w:t>
      </w:r>
      <w:r w:rsidR="00DF46A9" w:rsidRPr="00AD2139">
        <w:rPr>
          <w:rFonts w:ascii="Arial" w:hAnsi="Arial" w:cs="Arial"/>
          <w:sz w:val="20"/>
          <w:szCs w:val="20"/>
        </w:rPr>
        <w:t xml:space="preserve">geopolymer </w:t>
      </w:r>
      <w:r w:rsidR="00EB4BCF" w:rsidRPr="00AD2139">
        <w:rPr>
          <w:rFonts w:ascii="Arial" w:hAnsi="Arial" w:cs="Arial"/>
          <w:sz w:val="20"/>
          <w:szCs w:val="20"/>
        </w:rPr>
        <w:t>sử dụng</w:t>
      </w:r>
      <w:r w:rsidR="00633DB4" w:rsidRPr="00AD2139">
        <w:rPr>
          <w:rFonts w:ascii="Arial" w:hAnsi="Arial" w:cs="Arial"/>
          <w:sz w:val="20"/>
          <w:szCs w:val="20"/>
        </w:rPr>
        <w:t xml:space="preserve"> bùn đỏ sẽ có giá trị lớn hơn so với đất sét nung. Các kế</w:t>
      </w:r>
      <w:r w:rsidR="002C07F7" w:rsidRPr="00AD2139">
        <w:rPr>
          <w:rFonts w:ascii="Arial" w:hAnsi="Arial" w:cs="Arial"/>
          <w:sz w:val="20"/>
          <w:szCs w:val="20"/>
        </w:rPr>
        <w:t>t quả</w:t>
      </w:r>
      <w:r w:rsidR="00633DB4" w:rsidRPr="00AD2139">
        <w:rPr>
          <w:rFonts w:ascii="Arial" w:hAnsi="Arial" w:cs="Arial"/>
          <w:sz w:val="20"/>
          <w:szCs w:val="20"/>
        </w:rPr>
        <w:t xml:space="preserve"> thí nghiệm cho thấy, giá trị độ hút nước có thể được </w:t>
      </w:r>
      <w:r w:rsidR="00633DB4" w:rsidRPr="00AD2139">
        <w:rPr>
          <w:rFonts w:ascii="Arial" w:hAnsi="Arial" w:cs="Arial"/>
          <w:sz w:val="20"/>
          <w:szCs w:val="20"/>
        </w:rPr>
        <w:lastRenderedPageBreak/>
        <w:t xml:space="preserve">phân loại </w:t>
      </w:r>
      <w:proofErr w:type="gramStart"/>
      <w:r w:rsidR="00633DB4" w:rsidRPr="00AD2139">
        <w:rPr>
          <w:rFonts w:ascii="Arial" w:hAnsi="Arial" w:cs="Arial"/>
          <w:sz w:val="20"/>
          <w:szCs w:val="20"/>
        </w:rPr>
        <w:t>theo</w:t>
      </w:r>
      <w:proofErr w:type="gramEnd"/>
      <w:r w:rsidR="00633DB4" w:rsidRPr="00AD2139">
        <w:rPr>
          <w:rFonts w:ascii="Arial" w:hAnsi="Arial" w:cs="Arial"/>
          <w:sz w:val="20"/>
          <w:szCs w:val="20"/>
        </w:rPr>
        <w:t xml:space="preserve"> các mức bao gồm không lớn hơn 16% và không lớn h</w:t>
      </w:r>
      <w:r w:rsidR="0064110B" w:rsidRPr="00AD2139">
        <w:rPr>
          <w:rFonts w:ascii="Arial" w:hAnsi="Arial" w:cs="Arial"/>
          <w:sz w:val="20"/>
          <w:szCs w:val="20"/>
        </w:rPr>
        <w:t>ơ</w:t>
      </w:r>
      <w:r w:rsidR="00633DB4" w:rsidRPr="00AD2139">
        <w:rPr>
          <w:rFonts w:ascii="Arial" w:hAnsi="Arial" w:cs="Arial"/>
          <w:sz w:val="20"/>
          <w:szCs w:val="20"/>
        </w:rPr>
        <w:t>n 20% tùy theo phương pháp tạo hình.</w:t>
      </w:r>
    </w:p>
    <w:p w:rsidR="000F394A" w:rsidRPr="00AD2139" w:rsidRDefault="00E83AEC" w:rsidP="00DD0373">
      <w:pPr>
        <w:spacing w:before="0" w:after="120" w:line="300" w:lineRule="exact"/>
        <w:jc w:val="both"/>
        <w:rPr>
          <w:rFonts w:ascii="Arial" w:hAnsi="Arial" w:cs="Arial"/>
          <w:b/>
          <w:i/>
          <w:sz w:val="20"/>
          <w:szCs w:val="20"/>
        </w:rPr>
      </w:pPr>
      <w:r w:rsidRPr="00AD2139">
        <w:rPr>
          <w:rFonts w:ascii="Arial" w:hAnsi="Arial" w:cs="Arial"/>
          <w:b/>
          <w:i/>
          <w:sz w:val="20"/>
          <w:szCs w:val="20"/>
        </w:rPr>
        <w:t xml:space="preserve">2.4 </w:t>
      </w:r>
      <w:r w:rsidR="000F394A" w:rsidRPr="00AD2139">
        <w:rPr>
          <w:rFonts w:ascii="Arial" w:hAnsi="Arial" w:cs="Arial"/>
          <w:b/>
          <w:i/>
          <w:sz w:val="20"/>
          <w:szCs w:val="20"/>
        </w:rPr>
        <w:t>Hệ số hóa mềm</w:t>
      </w:r>
    </w:p>
    <w:p w:rsidR="002C07F7" w:rsidRPr="00AD2139" w:rsidRDefault="00633DB4" w:rsidP="00DD0373">
      <w:pPr>
        <w:spacing w:before="0" w:after="120" w:line="300" w:lineRule="exact"/>
        <w:jc w:val="both"/>
        <w:rPr>
          <w:rFonts w:ascii="Arial" w:hAnsi="Arial" w:cs="Arial"/>
          <w:sz w:val="20"/>
          <w:szCs w:val="20"/>
        </w:rPr>
      </w:pPr>
      <w:r w:rsidRPr="00AD2139">
        <w:rPr>
          <w:rFonts w:ascii="Arial" w:hAnsi="Arial" w:cs="Arial"/>
          <w:sz w:val="20"/>
          <w:szCs w:val="20"/>
        </w:rPr>
        <w:tab/>
        <w:t>Hệ số hóa mềm được tính bằng tỷ lệ giữa cường độ của vật liệu ở trạng thái bão hòa nước trên cường độ của vật liệu ở trạ</w:t>
      </w:r>
      <w:r w:rsidR="002C07F7" w:rsidRPr="00AD2139">
        <w:rPr>
          <w:rFonts w:ascii="Arial" w:hAnsi="Arial" w:cs="Arial"/>
          <w:sz w:val="20"/>
          <w:szCs w:val="20"/>
        </w:rPr>
        <w:t xml:space="preserve">ng thái khô hoàn toàn. Sự suy giảm cường độ của vật liệu ở trạng thái bão hòa so với ở trạng thái khô là do ứng suất bổ sung xuất hiện khi nước thâm nhập vào các khe nứt, vị trí khuyết tật. Ngoài ra, dưới tác động của nước, các liên kết thuần túy cơ học dưới tác động của lực ép, rung ép cũng sẽ bị suy giảm đáng kể. Do đó, hệ số hóa mềm cho phép đánh giá một cách tương đối về mức độ khuyết tật của cấu trúc. Dựa trên giá trị hệ số hóa mềm có thể phân loại độ bền nước của các vật liệu và khuyến cáo phạm </w:t>
      </w:r>
      <w:proofErr w:type="gramStart"/>
      <w:r w:rsidR="002C07F7" w:rsidRPr="00AD2139">
        <w:rPr>
          <w:rFonts w:ascii="Arial" w:hAnsi="Arial" w:cs="Arial"/>
          <w:sz w:val="20"/>
          <w:szCs w:val="20"/>
        </w:rPr>
        <w:t>vi</w:t>
      </w:r>
      <w:proofErr w:type="gramEnd"/>
      <w:r w:rsidR="002C07F7" w:rsidRPr="00AD2139">
        <w:rPr>
          <w:rFonts w:ascii="Arial" w:hAnsi="Arial" w:cs="Arial"/>
          <w:sz w:val="20"/>
          <w:szCs w:val="20"/>
        </w:rPr>
        <w:t xml:space="preserve"> sử dụng. Theo đó, khi hệ số hóa mềm lớn hơn 0</w:t>
      </w:r>
      <w:proofErr w:type="gramStart"/>
      <w:r w:rsidR="002C07F7" w:rsidRPr="00AD2139">
        <w:rPr>
          <w:rFonts w:ascii="Arial" w:hAnsi="Arial" w:cs="Arial"/>
          <w:sz w:val="20"/>
          <w:szCs w:val="20"/>
        </w:rPr>
        <w:t>,75</w:t>
      </w:r>
      <w:proofErr w:type="gramEnd"/>
      <w:r w:rsidR="002C07F7" w:rsidRPr="00AD2139">
        <w:rPr>
          <w:rFonts w:ascii="Arial" w:hAnsi="Arial" w:cs="Arial"/>
          <w:sz w:val="20"/>
          <w:szCs w:val="20"/>
        </w:rPr>
        <w:t>-0,80 thì vật liệu có thể được coi là bền nước</w:t>
      </w:r>
      <w:r w:rsidR="00DD0F00" w:rsidRPr="00AD2139">
        <w:rPr>
          <w:rFonts w:ascii="Arial" w:hAnsi="Arial" w:cs="Arial"/>
          <w:sz w:val="20"/>
          <w:szCs w:val="20"/>
        </w:rPr>
        <w:t xml:space="preserve"> [9]</w:t>
      </w:r>
      <w:r w:rsidR="002C07F7" w:rsidRPr="00AD2139">
        <w:rPr>
          <w:rFonts w:ascii="Arial" w:hAnsi="Arial" w:cs="Arial"/>
          <w:sz w:val="20"/>
          <w:szCs w:val="20"/>
        </w:rPr>
        <w:t xml:space="preserve">.   </w:t>
      </w:r>
    </w:p>
    <w:p w:rsidR="003D63B7" w:rsidRPr="00AD2139" w:rsidRDefault="002C07F7" w:rsidP="00AD2139">
      <w:pPr>
        <w:spacing w:before="0" w:after="60" w:line="300" w:lineRule="exact"/>
        <w:jc w:val="both"/>
        <w:rPr>
          <w:rFonts w:ascii="Arial" w:hAnsi="Arial" w:cs="Arial"/>
          <w:sz w:val="20"/>
          <w:szCs w:val="20"/>
        </w:rPr>
      </w:pPr>
      <w:r w:rsidRPr="00AD2139">
        <w:rPr>
          <w:rFonts w:ascii="Arial" w:hAnsi="Arial" w:cs="Arial"/>
          <w:sz w:val="20"/>
          <w:szCs w:val="20"/>
        </w:rPr>
        <w:tab/>
        <w:t xml:space="preserve">Các thí nghiệm đã tiến hành cho thấy, </w:t>
      </w:r>
      <w:r w:rsidR="00EB4BCF" w:rsidRPr="00AD2139">
        <w:rPr>
          <w:rFonts w:ascii="Arial" w:hAnsi="Arial" w:cs="Arial"/>
          <w:sz w:val="20"/>
          <w:szCs w:val="20"/>
        </w:rPr>
        <w:t xml:space="preserve">ngay </w:t>
      </w:r>
      <w:r w:rsidRPr="00AD2139">
        <w:rPr>
          <w:rFonts w:ascii="Arial" w:hAnsi="Arial" w:cs="Arial"/>
          <w:sz w:val="20"/>
          <w:szCs w:val="20"/>
        </w:rPr>
        <w:t>sau khi tạo hình, gạch không nung</w:t>
      </w:r>
      <w:r w:rsidR="000D347D" w:rsidRPr="00AD2139">
        <w:rPr>
          <w:rFonts w:ascii="Arial" w:hAnsi="Arial" w:cs="Arial"/>
          <w:sz w:val="20"/>
          <w:szCs w:val="20"/>
        </w:rPr>
        <w:t xml:space="preserve"> </w:t>
      </w:r>
      <w:r w:rsidR="00DF46A9" w:rsidRPr="00AD2139">
        <w:rPr>
          <w:rFonts w:ascii="Arial" w:hAnsi="Arial" w:cs="Arial"/>
          <w:sz w:val="20"/>
          <w:szCs w:val="20"/>
        </w:rPr>
        <w:t xml:space="preserve">geopolymer </w:t>
      </w:r>
      <w:r w:rsidR="00EB4BCF" w:rsidRPr="00AD2139">
        <w:rPr>
          <w:rFonts w:ascii="Arial" w:hAnsi="Arial" w:cs="Arial"/>
          <w:sz w:val="20"/>
          <w:szCs w:val="20"/>
        </w:rPr>
        <w:t xml:space="preserve">sử dụng </w:t>
      </w:r>
      <w:r w:rsidRPr="00AD2139">
        <w:rPr>
          <w:rFonts w:ascii="Arial" w:hAnsi="Arial" w:cs="Arial"/>
          <w:sz w:val="20"/>
          <w:szCs w:val="20"/>
        </w:rPr>
        <w:t>bùn đỏ đã có cường độ nhất định. Tuy nhiên</w:t>
      </w:r>
      <w:r w:rsidR="00EB4BCF" w:rsidRPr="00AD2139">
        <w:rPr>
          <w:rFonts w:ascii="Arial" w:hAnsi="Arial" w:cs="Arial"/>
          <w:sz w:val="20"/>
          <w:szCs w:val="20"/>
        </w:rPr>
        <w:t>,</w:t>
      </w:r>
      <w:r w:rsidRPr="00AD2139">
        <w:rPr>
          <w:rFonts w:ascii="Arial" w:hAnsi="Arial" w:cs="Arial"/>
          <w:sz w:val="20"/>
          <w:szCs w:val="20"/>
        </w:rPr>
        <w:t xml:space="preserve"> trước khi gia công nhiệt, hệ số hóa mềm của vật liệu có thể coi là bằng 0 vì không có liên kết hóa học. </w:t>
      </w:r>
      <w:r w:rsidR="000B3673" w:rsidRPr="00AD2139">
        <w:rPr>
          <w:rFonts w:ascii="Arial" w:hAnsi="Arial" w:cs="Arial"/>
          <w:sz w:val="20"/>
          <w:szCs w:val="20"/>
        </w:rPr>
        <w:t>Hệ số hóa mềm chỉ được cải thiện khi gia công</w:t>
      </w:r>
      <w:r w:rsidR="00DF46A9" w:rsidRPr="00AD2139">
        <w:rPr>
          <w:rFonts w:ascii="Arial" w:hAnsi="Arial" w:cs="Arial"/>
          <w:sz w:val="20"/>
          <w:szCs w:val="20"/>
        </w:rPr>
        <w:t xml:space="preserve"> nhiệt, nhất là gia công</w:t>
      </w:r>
      <w:r w:rsidR="000B3673" w:rsidRPr="00AD2139">
        <w:rPr>
          <w:rFonts w:ascii="Arial" w:hAnsi="Arial" w:cs="Arial"/>
          <w:sz w:val="20"/>
          <w:szCs w:val="20"/>
        </w:rPr>
        <w:t xml:space="preserve"> </w:t>
      </w:r>
      <w:proofErr w:type="gramStart"/>
      <w:r w:rsidR="000B3673" w:rsidRPr="00AD2139">
        <w:rPr>
          <w:rFonts w:ascii="Arial" w:hAnsi="Arial" w:cs="Arial"/>
          <w:sz w:val="20"/>
          <w:szCs w:val="20"/>
        </w:rPr>
        <w:t>chưng</w:t>
      </w:r>
      <w:proofErr w:type="gramEnd"/>
      <w:r w:rsidR="000B3673" w:rsidRPr="00AD2139">
        <w:rPr>
          <w:rFonts w:ascii="Arial" w:hAnsi="Arial" w:cs="Arial"/>
          <w:sz w:val="20"/>
          <w:szCs w:val="20"/>
        </w:rPr>
        <w:t xml:space="preserve"> áp, tức là khi xuất hiện các liên kết hóa học trong cấu trúc. Do đó, đối với hệ vật liệu này, hệ số hóa mềm là một chỉ tiêu quan trọng đánh giá mức độ phản ứng và mức độ hoàn thiện cấu trúc. Do đó, đ</w:t>
      </w:r>
      <w:r w:rsidRPr="00AD2139">
        <w:rPr>
          <w:rFonts w:ascii="Arial" w:hAnsi="Arial" w:cs="Arial"/>
          <w:sz w:val="20"/>
          <w:szCs w:val="20"/>
        </w:rPr>
        <w:t>ối với gạch không nung</w:t>
      </w:r>
      <w:r w:rsidR="000D347D" w:rsidRPr="00AD2139">
        <w:rPr>
          <w:rFonts w:ascii="Arial" w:hAnsi="Arial" w:cs="Arial"/>
          <w:sz w:val="20"/>
          <w:szCs w:val="20"/>
        </w:rPr>
        <w:t xml:space="preserve"> </w:t>
      </w:r>
      <w:r w:rsidR="00DF46A9" w:rsidRPr="00AD2139">
        <w:rPr>
          <w:rFonts w:ascii="Arial" w:hAnsi="Arial" w:cs="Arial"/>
          <w:sz w:val="20"/>
          <w:szCs w:val="20"/>
        </w:rPr>
        <w:t xml:space="preserve">geopolymer </w:t>
      </w:r>
      <w:r w:rsidR="00EB4BCF" w:rsidRPr="00AD2139">
        <w:rPr>
          <w:rFonts w:ascii="Arial" w:hAnsi="Arial" w:cs="Arial"/>
          <w:sz w:val="20"/>
          <w:szCs w:val="20"/>
        </w:rPr>
        <w:t>sử dụng</w:t>
      </w:r>
      <w:r w:rsidRPr="00AD2139">
        <w:rPr>
          <w:rFonts w:ascii="Arial" w:hAnsi="Arial" w:cs="Arial"/>
          <w:sz w:val="20"/>
          <w:szCs w:val="20"/>
        </w:rPr>
        <w:t xml:space="preserve"> bùn đỏ, </w:t>
      </w:r>
      <w:r w:rsidR="000B3673" w:rsidRPr="00AD2139">
        <w:rPr>
          <w:rFonts w:ascii="Arial" w:hAnsi="Arial" w:cs="Arial"/>
          <w:sz w:val="20"/>
          <w:szCs w:val="20"/>
        </w:rPr>
        <w:t>cần</w:t>
      </w:r>
      <w:r w:rsidRPr="00AD2139">
        <w:rPr>
          <w:rFonts w:ascii="Arial" w:hAnsi="Arial" w:cs="Arial"/>
          <w:sz w:val="20"/>
          <w:szCs w:val="20"/>
        </w:rPr>
        <w:t xml:space="preserve"> quy định hệ số hóa mềm ở mức</w:t>
      </w:r>
      <w:r w:rsidR="00EB4BCF" w:rsidRPr="00AD2139">
        <w:rPr>
          <w:rFonts w:ascii="Arial" w:hAnsi="Arial" w:cs="Arial"/>
          <w:sz w:val="20"/>
          <w:szCs w:val="20"/>
        </w:rPr>
        <w:t xml:space="preserve"> không nhỏ hơn</w:t>
      </w:r>
      <w:r w:rsidRPr="00AD2139">
        <w:rPr>
          <w:rFonts w:ascii="Arial" w:hAnsi="Arial" w:cs="Arial"/>
          <w:sz w:val="20"/>
          <w:szCs w:val="20"/>
        </w:rPr>
        <w:t xml:space="preserve"> 0</w:t>
      </w:r>
      <w:proofErr w:type="gramStart"/>
      <w:r w:rsidRPr="00AD2139">
        <w:rPr>
          <w:rFonts w:ascii="Arial" w:hAnsi="Arial" w:cs="Arial"/>
          <w:sz w:val="20"/>
          <w:szCs w:val="20"/>
        </w:rPr>
        <w:t>,75</w:t>
      </w:r>
      <w:proofErr w:type="gramEnd"/>
      <w:r w:rsidRPr="00AD2139">
        <w:rPr>
          <w:rFonts w:ascii="Arial" w:hAnsi="Arial" w:cs="Arial"/>
          <w:sz w:val="20"/>
          <w:szCs w:val="20"/>
        </w:rPr>
        <w:t xml:space="preserve">. </w:t>
      </w:r>
    </w:p>
    <w:p w:rsidR="000F394A" w:rsidRPr="00AD2139" w:rsidRDefault="00E83AEC" w:rsidP="00AD2139">
      <w:pPr>
        <w:spacing w:before="0" w:after="60" w:line="300" w:lineRule="exact"/>
        <w:jc w:val="both"/>
        <w:rPr>
          <w:rFonts w:ascii="Arial" w:hAnsi="Arial" w:cs="Arial"/>
          <w:b/>
          <w:i/>
          <w:sz w:val="20"/>
          <w:szCs w:val="20"/>
        </w:rPr>
      </w:pPr>
      <w:r w:rsidRPr="00AD2139">
        <w:rPr>
          <w:rFonts w:ascii="Arial" w:hAnsi="Arial" w:cs="Arial"/>
          <w:b/>
          <w:i/>
          <w:sz w:val="20"/>
          <w:szCs w:val="20"/>
        </w:rPr>
        <w:t xml:space="preserve">2.5 </w:t>
      </w:r>
      <w:r w:rsidR="000F394A" w:rsidRPr="00AD2139">
        <w:rPr>
          <w:rFonts w:ascii="Arial" w:hAnsi="Arial" w:cs="Arial"/>
          <w:b/>
          <w:i/>
          <w:sz w:val="20"/>
          <w:szCs w:val="20"/>
        </w:rPr>
        <w:t>Độ pH</w:t>
      </w:r>
    </w:p>
    <w:p w:rsidR="000F394A" w:rsidRPr="00AD2139" w:rsidRDefault="000B3673" w:rsidP="00DD0373">
      <w:pPr>
        <w:spacing w:before="0" w:after="120" w:line="300" w:lineRule="exact"/>
        <w:jc w:val="both"/>
        <w:rPr>
          <w:rFonts w:ascii="Arial" w:hAnsi="Arial" w:cs="Arial"/>
          <w:sz w:val="20"/>
          <w:szCs w:val="20"/>
        </w:rPr>
      </w:pPr>
      <w:r w:rsidRPr="00AD2139">
        <w:rPr>
          <w:rFonts w:ascii="Arial" w:hAnsi="Arial" w:cs="Arial"/>
          <w:sz w:val="20"/>
          <w:szCs w:val="20"/>
        </w:rPr>
        <w:tab/>
      </w:r>
      <w:r w:rsidR="00B274A5" w:rsidRPr="00AD2139">
        <w:rPr>
          <w:rFonts w:ascii="Arial" w:hAnsi="Arial" w:cs="Arial"/>
          <w:sz w:val="20"/>
          <w:szCs w:val="20"/>
        </w:rPr>
        <w:t xml:space="preserve">Bản thân bùn đỏ </w:t>
      </w:r>
      <w:r w:rsidR="009F1794" w:rsidRPr="00AD2139">
        <w:rPr>
          <w:rFonts w:ascii="Arial" w:hAnsi="Arial" w:cs="Arial"/>
          <w:sz w:val="20"/>
          <w:szCs w:val="20"/>
        </w:rPr>
        <w:t xml:space="preserve">có chứa một lượng NaOH dư nhất định. Ngoài ra, </w:t>
      </w:r>
      <w:r w:rsidR="00993AAC" w:rsidRPr="00AD2139">
        <w:rPr>
          <w:rFonts w:ascii="Arial" w:hAnsi="Arial" w:cs="Arial"/>
          <w:sz w:val="20"/>
          <w:szCs w:val="20"/>
        </w:rPr>
        <w:t xml:space="preserve">trong quá trình phối liệu, có thể cần bổ sung một lượng NaOH </w:t>
      </w:r>
      <w:r w:rsidR="00EB4BCF" w:rsidRPr="00AD2139">
        <w:rPr>
          <w:rFonts w:ascii="Arial" w:hAnsi="Arial" w:cs="Arial"/>
          <w:sz w:val="20"/>
          <w:szCs w:val="20"/>
        </w:rPr>
        <w:t>phù hợp</w:t>
      </w:r>
      <w:r w:rsidR="00993AAC" w:rsidRPr="00AD2139">
        <w:rPr>
          <w:rFonts w:ascii="Arial" w:hAnsi="Arial" w:cs="Arial"/>
          <w:sz w:val="20"/>
          <w:szCs w:val="20"/>
        </w:rPr>
        <w:t>. Lượng SiO</w:t>
      </w:r>
      <w:r w:rsidR="00993AAC" w:rsidRPr="00AD2139">
        <w:rPr>
          <w:rFonts w:ascii="Arial" w:hAnsi="Arial" w:cs="Arial"/>
          <w:sz w:val="20"/>
          <w:szCs w:val="20"/>
          <w:vertAlign w:val="subscript"/>
        </w:rPr>
        <w:t>2</w:t>
      </w:r>
      <w:r w:rsidR="00993AAC" w:rsidRPr="00AD2139">
        <w:rPr>
          <w:rFonts w:ascii="Arial" w:hAnsi="Arial" w:cs="Arial"/>
          <w:sz w:val="20"/>
          <w:szCs w:val="20"/>
        </w:rPr>
        <w:t xml:space="preserve"> hoạt tính và cường độ của vật liệu sẽ được cải thiện khi tăng hàm lượng NaOH. Tuy nhiên, khi tăng NaOH hàm lượng NaOH dư</w:t>
      </w:r>
      <w:r w:rsidR="00EB4BCF" w:rsidRPr="00AD2139">
        <w:rPr>
          <w:rFonts w:ascii="Arial" w:hAnsi="Arial" w:cs="Arial"/>
          <w:sz w:val="20"/>
          <w:szCs w:val="20"/>
        </w:rPr>
        <w:t xml:space="preserve"> trong sản phẩm sẽ tăng </w:t>
      </w:r>
      <w:proofErr w:type="gramStart"/>
      <w:r w:rsidR="00EB4BCF" w:rsidRPr="00AD2139">
        <w:rPr>
          <w:rFonts w:ascii="Arial" w:hAnsi="Arial" w:cs="Arial"/>
          <w:sz w:val="20"/>
          <w:szCs w:val="20"/>
        </w:rPr>
        <w:t>theo</w:t>
      </w:r>
      <w:proofErr w:type="gramEnd"/>
      <w:r w:rsidR="00993AAC" w:rsidRPr="00AD2139">
        <w:rPr>
          <w:rFonts w:ascii="Arial" w:hAnsi="Arial" w:cs="Arial"/>
          <w:sz w:val="20"/>
          <w:szCs w:val="20"/>
        </w:rPr>
        <w:t xml:space="preserve">. Lượng kiềm dư này có ảnh hưởng tiêu cực đến môi trường và chất lượng các lớp hoàn thiện </w:t>
      </w:r>
      <w:r w:rsidR="00EB4BCF" w:rsidRPr="00AD2139">
        <w:rPr>
          <w:rFonts w:ascii="Arial" w:hAnsi="Arial" w:cs="Arial"/>
          <w:sz w:val="20"/>
          <w:szCs w:val="20"/>
        </w:rPr>
        <w:t>trong quá trình</w:t>
      </w:r>
      <w:r w:rsidR="00993AAC" w:rsidRPr="00AD2139">
        <w:rPr>
          <w:rFonts w:ascii="Arial" w:hAnsi="Arial" w:cs="Arial"/>
          <w:sz w:val="20"/>
          <w:szCs w:val="20"/>
        </w:rPr>
        <w:t xml:space="preserve"> sử dụng. Do đó, với mức cường độ cho trước, cần khố</w:t>
      </w:r>
      <w:r w:rsidR="00EB4BCF" w:rsidRPr="00AD2139">
        <w:rPr>
          <w:rFonts w:ascii="Arial" w:hAnsi="Arial" w:cs="Arial"/>
          <w:sz w:val="20"/>
          <w:szCs w:val="20"/>
        </w:rPr>
        <w:t>ng</w:t>
      </w:r>
      <w:r w:rsidR="00993AAC" w:rsidRPr="00AD2139">
        <w:rPr>
          <w:rFonts w:ascii="Arial" w:hAnsi="Arial" w:cs="Arial"/>
          <w:sz w:val="20"/>
          <w:szCs w:val="20"/>
        </w:rPr>
        <w:t xml:space="preserve"> chế lượng kiềm dư ở mức độ thấp nhất. Xác định chính xác lượng kiềm dư có thể thực hiện thông qua phân tích hóa. Tuy nhiên, có thể đánh giá một cách tương đối lượng </w:t>
      </w:r>
      <w:r w:rsidR="00993AAC" w:rsidRPr="00AD2139">
        <w:rPr>
          <w:rFonts w:ascii="Arial" w:hAnsi="Arial" w:cs="Arial"/>
          <w:sz w:val="20"/>
          <w:szCs w:val="20"/>
        </w:rPr>
        <w:lastRenderedPageBreak/>
        <w:t>kiềm dư thông qua độ pH của vật liệu.</w:t>
      </w:r>
      <w:r w:rsidR="000A78E7" w:rsidRPr="00AD2139">
        <w:rPr>
          <w:rFonts w:ascii="Arial" w:hAnsi="Arial" w:cs="Arial"/>
          <w:sz w:val="20"/>
          <w:szCs w:val="20"/>
        </w:rPr>
        <w:t xml:space="preserve"> Để đo độ pH, trước tiên vật liệu được nghiền mịn qua sàng 0</w:t>
      </w:r>
      <w:proofErr w:type="gramStart"/>
      <w:r w:rsidR="000A78E7" w:rsidRPr="00AD2139">
        <w:rPr>
          <w:rFonts w:ascii="Arial" w:hAnsi="Arial" w:cs="Arial"/>
          <w:sz w:val="20"/>
          <w:szCs w:val="20"/>
        </w:rPr>
        <w:t>,09</w:t>
      </w:r>
      <w:proofErr w:type="gramEnd"/>
      <w:r w:rsidR="000A78E7" w:rsidRPr="00AD2139">
        <w:rPr>
          <w:rFonts w:ascii="Arial" w:hAnsi="Arial" w:cs="Arial"/>
          <w:sz w:val="20"/>
          <w:szCs w:val="20"/>
        </w:rPr>
        <w:t xml:space="preserve"> mm và ngâm trong nước cho đến khi độ pH đạt giá trị không đổi. </w:t>
      </w:r>
      <w:r w:rsidR="00993AAC" w:rsidRPr="00AD2139">
        <w:rPr>
          <w:rFonts w:ascii="Arial" w:hAnsi="Arial" w:cs="Arial"/>
          <w:sz w:val="20"/>
          <w:szCs w:val="20"/>
        </w:rPr>
        <w:t xml:space="preserve">Các nghiên cứu sơ bộ cho thấy, có thể quy định độ pH của </w:t>
      </w:r>
      <w:r w:rsidR="00DF46A9" w:rsidRPr="00AD2139">
        <w:rPr>
          <w:rFonts w:ascii="Arial" w:hAnsi="Arial" w:cs="Arial"/>
          <w:sz w:val="20"/>
          <w:szCs w:val="20"/>
        </w:rPr>
        <w:t xml:space="preserve">geopolymer </w:t>
      </w:r>
      <w:r w:rsidR="000D347D" w:rsidRPr="00AD2139">
        <w:rPr>
          <w:rFonts w:ascii="Arial" w:hAnsi="Arial" w:cs="Arial"/>
          <w:sz w:val="20"/>
          <w:szCs w:val="20"/>
        </w:rPr>
        <w:t xml:space="preserve">sử dụng bùn đỏ </w:t>
      </w:r>
      <w:r w:rsidR="00993AAC" w:rsidRPr="00AD2139">
        <w:rPr>
          <w:rFonts w:ascii="Arial" w:hAnsi="Arial" w:cs="Arial"/>
          <w:sz w:val="20"/>
          <w:szCs w:val="20"/>
        </w:rPr>
        <w:t xml:space="preserve">ở mức nhỏ hơn 10. Giá trị này là nhỏ hơn độ pH của bê tông và vữa xi măng. Ngoài ra, </w:t>
      </w:r>
      <w:proofErr w:type="gramStart"/>
      <w:r w:rsidR="00993AAC" w:rsidRPr="00AD2139">
        <w:rPr>
          <w:rFonts w:ascii="Arial" w:hAnsi="Arial" w:cs="Arial"/>
          <w:sz w:val="20"/>
          <w:szCs w:val="20"/>
        </w:rPr>
        <w:t>theo</w:t>
      </w:r>
      <w:proofErr w:type="gramEnd"/>
      <w:r w:rsidR="00993AAC" w:rsidRPr="00AD2139">
        <w:rPr>
          <w:rFonts w:ascii="Arial" w:hAnsi="Arial" w:cs="Arial"/>
          <w:sz w:val="20"/>
          <w:szCs w:val="20"/>
        </w:rPr>
        <w:t xml:space="preserve"> dõi dài ngày cho thấy ở mức pH 10, các sản phẩm không bị </w:t>
      </w:r>
      <w:r w:rsidR="00EB4BCF" w:rsidRPr="00AD2139">
        <w:rPr>
          <w:rFonts w:ascii="Arial" w:hAnsi="Arial" w:cs="Arial"/>
          <w:sz w:val="20"/>
          <w:szCs w:val="20"/>
        </w:rPr>
        <w:t>t</w:t>
      </w:r>
      <w:r w:rsidR="00993AAC" w:rsidRPr="00AD2139">
        <w:rPr>
          <w:rFonts w:ascii="Arial" w:hAnsi="Arial" w:cs="Arial"/>
          <w:sz w:val="20"/>
          <w:szCs w:val="20"/>
        </w:rPr>
        <w:t>iết kiềm tạo thành các vết ố trắng và không ảnh hưởng tới các lớp hoàn thiện.</w:t>
      </w:r>
    </w:p>
    <w:p w:rsidR="000B3673" w:rsidRPr="00AD2139" w:rsidRDefault="00356791" w:rsidP="00DD0373">
      <w:pPr>
        <w:spacing w:before="0" w:after="120" w:line="300" w:lineRule="exact"/>
        <w:jc w:val="both"/>
        <w:rPr>
          <w:rFonts w:ascii="Arial" w:hAnsi="Arial" w:cs="Arial"/>
          <w:sz w:val="20"/>
          <w:szCs w:val="20"/>
        </w:rPr>
      </w:pPr>
      <w:r w:rsidRPr="00AD2139">
        <w:rPr>
          <w:rFonts w:ascii="Arial" w:hAnsi="Arial" w:cs="Arial"/>
          <w:sz w:val="20"/>
          <w:szCs w:val="20"/>
        </w:rPr>
        <w:tab/>
        <w:t xml:space="preserve">Các chỉ tiêu kỹ thuật trên là cơ sở để biên soạn tiêu chuẩn cơ sở cho sản phẩm gạch không nung </w:t>
      </w:r>
      <w:r w:rsidR="00DF46A9" w:rsidRPr="00AD2139">
        <w:rPr>
          <w:rFonts w:ascii="Arial" w:hAnsi="Arial" w:cs="Arial"/>
          <w:sz w:val="20"/>
          <w:szCs w:val="20"/>
        </w:rPr>
        <w:lastRenderedPageBreak/>
        <w:t xml:space="preserve">geopolymer </w:t>
      </w:r>
      <w:r w:rsidRPr="00AD2139">
        <w:rPr>
          <w:rFonts w:ascii="Arial" w:hAnsi="Arial" w:cs="Arial"/>
          <w:sz w:val="20"/>
          <w:szCs w:val="20"/>
        </w:rPr>
        <w:t>sử dụng bùn đỏ. Các chỉ tiêu này cũng có thể tham khảo khi xây dựng tiêu chuẩn quốc gia.</w:t>
      </w:r>
    </w:p>
    <w:p w:rsidR="000F394A" w:rsidRPr="00AD2139" w:rsidRDefault="000F394A" w:rsidP="00AD2139">
      <w:pPr>
        <w:spacing w:before="0" w:after="120" w:line="300" w:lineRule="exact"/>
        <w:jc w:val="both"/>
        <w:rPr>
          <w:rFonts w:ascii="Arial" w:hAnsi="Arial" w:cs="Arial"/>
          <w:b/>
          <w:sz w:val="20"/>
          <w:szCs w:val="20"/>
        </w:rPr>
      </w:pPr>
      <w:r w:rsidRPr="00AD2139">
        <w:rPr>
          <w:rFonts w:ascii="Arial" w:hAnsi="Arial" w:cs="Arial"/>
          <w:b/>
          <w:sz w:val="20"/>
          <w:szCs w:val="20"/>
        </w:rPr>
        <w:t>3. Một số tính chất của gạch không nung</w:t>
      </w:r>
      <w:r w:rsidR="004C6E56" w:rsidRPr="00AD2139">
        <w:rPr>
          <w:rFonts w:ascii="Arial" w:hAnsi="Arial" w:cs="Arial"/>
          <w:b/>
          <w:sz w:val="20"/>
          <w:szCs w:val="20"/>
        </w:rPr>
        <w:t xml:space="preserve"> </w:t>
      </w:r>
      <w:r w:rsidR="00DF46A9" w:rsidRPr="00AD2139">
        <w:rPr>
          <w:rFonts w:ascii="Arial" w:hAnsi="Arial" w:cs="Arial"/>
          <w:b/>
          <w:sz w:val="20"/>
          <w:szCs w:val="20"/>
        </w:rPr>
        <w:t xml:space="preserve">geopolymer </w:t>
      </w:r>
      <w:r w:rsidR="004C6E56" w:rsidRPr="00AD2139">
        <w:rPr>
          <w:rFonts w:ascii="Arial" w:hAnsi="Arial" w:cs="Arial"/>
          <w:b/>
          <w:sz w:val="20"/>
          <w:szCs w:val="20"/>
        </w:rPr>
        <w:t>sử dụng</w:t>
      </w:r>
      <w:r w:rsidRPr="00AD2139">
        <w:rPr>
          <w:rFonts w:ascii="Arial" w:hAnsi="Arial" w:cs="Arial"/>
          <w:b/>
          <w:sz w:val="20"/>
          <w:szCs w:val="20"/>
        </w:rPr>
        <w:t xml:space="preserve"> bùn đỏ</w:t>
      </w:r>
    </w:p>
    <w:p w:rsidR="00DD0373" w:rsidRPr="00AD2139" w:rsidRDefault="003864A4" w:rsidP="00AD2139">
      <w:pPr>
        <w:spacing w:before="0" w:after="120" w:line="280" w:lineRule="exact"/>
        <w:jc w:val="both"/>
        <w:rPr>
          <w:rFonts w:ascii="Arial" w:hAnsi="Arial" w:cs="Arial"/>
          <w:sz w:val="20"/>
          <w:szCs w:val="20"/>
        </w:rPr>
      </w:pPr>
      <w:r w:rsidRPr="00AD2139">
        <w:rPr>
          <w:rFonts w:ascii="Arial" w:hAnsi="Arial" w:cs="Arial"/>
          <w:sz w:val="20"/>
          <w:szCs w:val="20"/>
        </w:rPr>
        <w:tab/>
        <w:t xml:space="preserve">Trên cơ sở các nghiên cứu trên, đã tiến hành sản xuất lô sản phẩm thử nghiệm gạch không nung từ bùn đỏ và tro bay Tân Rai. Việc tạo hình sản phẩm được thực hiện </w:t>
      </w:r>
      <w:proofErr w:type="gramStart"/>
      <w:r w:rsidRPr="00AD2139">
        <w:rPr>
          <w:rFonts w:ascii="Arial" w:hAnsi="Arial" w:cs="Arial"/>
          <w:sz w:val="20"/>
          <w:szCs w:val="20"/>
        </w:rPr>
        <w:t>theo</w:t>
      </w:r>
      <w:proofErr w:type="gramEnd"/>
      <w:r w:rsidRPr="00AD2139">
        <w:rPr>
          <w:rFonts w:ascii="Arial" w:hAnsi="Arial" w:cs="Arial"/>
          <w:sz w:val="20"/>
          <w:szCs w:val="20"/>
        </w:rPr>
        <w:t xml:space="preserve"> công nghệ ép tĩnh </w:t>
      </w:r>
      <w:r w:rsidR="00EB4BCF" w:rsidRPr="00AD2139">
        <w:rPr>
          <w:rFonts w:ascii="Arial" w:hAnsi="Arial" w:cs="Arial"/>
          <w:sz w:val="20"/>
          <w:szCs w:val="20"/>
        </w:rPr>
        <w:t xml:space="preserve">(RM.N) </w:t>
      </w:r>
      <w:r w:rsidRPr="00AD2139">
        <w:rPr>
          <w:rFonts w:ascii="Arial" w:hAnsi="Arial" w:cs="Arial"/>
          <w:sz w:val="20"/>
          <w:szCs w:val="20"/>
        </w:rPr>
        <w:t>và đùn dẻo</w:t>
      </w:r>
      <w:r w:rsidR="00EB4BCF" w:rsidRPr="00AD2139">
        <w:rPr>
          <w:rFonts w:ascii="Arial" w:hAnsi="Arial" w:cs="Arial"/>
          <w:sz w:val="20"/>
          <w:szCs w:val="20"/>
        </w:rPr>
        <w:t xml:space="preserve"> (RM.D)</w:t>
      </w:r>
      <w:r w:rsidRPr="00AD2139">
        <w:rPr>
          <w:rFonts w:ascii="Arial" w:hAnsi="Arial" w:cs="Arial"/>
          <w:sz w:val="20"/>
          <w:szCs w:val="20"/>
        </w:rPr>
        <w:t xml:space="preserve">. Gia công nhiệt được thực hiện trong autoclave công nghiệp. Các chỉ tiêu kỹ thuật của sản phẩm được xác định và trình bày tại </w:t>
      </w:r>
      <w:r w:rsidR="0064110B" w:rsidRPr="00AD2139">
        <w:rPr>
          <w:rFonts w:ascii="Arial" w:hAnsi="Arial" w:cs="Arial"/>
          <w:sz w:val="20"/>
          <w:szCs w:val="20"/>
        </w:rPr>
        <w:t>b</w:t>
      </w:r>
      <w:r w:rsidRPr="00AD2139">
        <w:rPr>
          <w:rFonts w:ascii="Arial" w:hAnsi="Arial" w:cs="Arial"/>
          <w:sz w:val="20"/>
          <w:szCs w:val="20"/>
        </w:rPr>
        <w:t>ảng 1</w:t>
      </w:r>
      <w:r w:rsidR="0064110B" w:rsidRPr="00AD2139">
        <w:rPr>
          <w:rFonts w:ascii="Arial" w:hAnsi="Arial" w:cs="Arial"/>
          <w:sz w:val="20"/>
          <w:szCs w:val="20"/>
        </w:rPr>
        <w:t xml:space="preserve"> và b</w:t>
      </w:r>
      <w:r w:rsidR="00742F16" w:rsidRPr="00AD2139">
        <w:rPr>
          <w:rFonts w:ascii="Arial" w:hAnsi="Arial" w:cs="Arial"/>
          <w:sz w:val="20"/>
          <w:szCs w:val="20"/>
        </w:rPr>
        <w:t>ảng 2</w:t>
      </w:r>
      <w:r w:rsidRPr="00AD2139">
        <w:rPr>
          <w:rFonts w:ascii="Arial" w:hAnsi="Arial" w:cs="Arial"/>
          <w:sz w:val="20"/>
          <w:szCs w:val="20"/>
        </w:rPr>
        <w:t>.</w:t>
      </w:r>
    </w:p>
    <w:p w:rsidR="00BF4241" w:rsidRPr="00AD2139" w:rsidRDefault="00BF4241" w:rsidP="00DD0373">
      <w:pPr>
        <w:spacing w:before="0" w:after="120" w:line="300" w:lineRule="exact"/>
        <w:jc w:val="both"/>
        <w:rPr>
          <w:rFonts w:ascii="Arial" w:hAnsi="Arial" w:cs="Arial"/>
          <w:sz w:val="20"/>
          <w:szCs w:val="20"/>
        </w:rPr>
        <w:sectPr w:rsidR="00BF4241" w:rsidRPr="00AD2139" w:rsidSect="00DD0373">
          <w:type w:val="continuous"/>
          <w:pgSz w:w="11907" w:h="16840" w:code="9"/>
          <w:pgMar w:top="1134" w:right="851" w:bottom="1134" w:left="1418" w:header="720" w:footer="720" w:gutter="0"/>
          <w:cols w:num="2" w:space="340"/>
          <w:docGrid w:linePitch="360"/>
        </w:sectPr>
      </w:pPr>
    </w:p>
    <w:p w:rsidR="00DD0373" w:rsidRPr="00AD2139" w:rsidRDefault="00DD0373" w:rsidP="00A6535C">
      <w:pPr>
        <w:spacing w:before="0" w:line="240" w:lineRule="auto"/>
        <w:jc w:val="both"/>
        <w:rPr>
          <w:rFonts w:ascii="Arial" w:hAnsi="Arial" w:cs="Arial"/>
          <w:sz w:val="20"/>
          <w:szCs w:val="20"/>
        </w:rPr>
      </w:pPr>
    </w:p>
    <w:p w:rsidR="000D347D" w:rsidRPr="00AD2139" w:rsidRDefault="000D347D" w:rsidP="00BF4241">
      <w:pPr>
        <w:spacing w:before="0" w:after="60" w:line="240" w:lineRule="auto"/>
        <w:jc w:val="center"/>
        <w:rPr>
          <w:rFonts w:ascii="Arial" w:hAnsi="Arial" w:cs="Arial"/>
          <w:sz w:val="18"/>
          <w:szCs w:val="18"/>
        </w:rPr>
      </w:pPr>
      <w:r w:rsidRPr="00AD2139">
        <w:rPr>
          <w:rFonts w:ascii="Arial" w:hAnsi="Arial" w:cs="Arial"/>
          <w:b/>
          <w:sz w:val="18"/>
          <w:szCs w:val="18"/>
        </w:rPr>
        <w:t>Bảng 1.</w:t>
      </w:r>
      <w:r w:rsidRPr="00AD2139">
        <w:rPr>
          <w:rFonts w:ascii="Arial" w:hAnsi="Arial" w:cs="Arial"/>
          <w:sz w:val="18"/>
          <w:szCs w:val="18"/>
        </w:rPr>
        <w:t xml:space="preserve"> </w:t>
      </w:r>
      <w:r w:rsidRPr="00AD2139">
        <w:rPr>
          <w:rFonts w:ascii="Arial" w:hAnsi="Arial" w:cs="Arial"/>
          <w:i/>
          <w:sz w:val="18"/>
          <w:szCs w:val="18"/>
        </w:rPr>
        <w:t>Các chỉ tiêu về kích thước và ngoại quan của gạch không nung</w:t>
      </w:r>
    </w:p>
    <w:tbl>
      <w:tblPr>
        <w:tblStyle w:val="TableGrid"/>
        <w:tblW w:w="0" w:type="auto"/>
        <w:tblInd w:w="249"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568"/>
        <w:gridCol w:w="1577"/>
        <w:gridCol w:w="1197"/>
        <w:gridCol w:w="1197"/>
        <w:gridCol w:w="1197"/>
        <w:gridCol w:w="1197"/>
        <w:gridCol w:w="1197"/>
        <w:gridCol w:w="1197"/>
      </w:tblGrid>
      <w:tr w:rsidR="00AD2139" w:rsidRPr="00AD2139" w:rsidTr="0064110B">
        <w:tc>
          <w:tcPr>
            <w:tcW w:w="568" w:type="dxa"/>
            <w:vMerge w:val="restart"/>
            <w:vAlign w:val="center"/>
          </w:tcPr>
          <w:p w:rsidR="00742F16" w:rsidRPr="00AD2139" w:rsidRDefault="00742F16" w:rsidP="00A6535C">
            <w:pPr>
              <w:jc w:val="center"/>
              <w:rPr>
                <w:rFonts w:ascii="Arial" w:hAnsi="Arial" w:cs="Arial"/>
                <w:sz w:val="18"/>
                <w:szCs w:val="18"/>
              </w:rPr>
            </w:pPr>
            <w:r w:rsidRPr="00AD2139">
              <w:rPr>
                <w:rFonts w:ascii="Arial" w:hAnsi="Arial" w:cs="Arial"/>
                <w:sz w:val="18"/>
                <w:szCs w:val="18"/>
              </w:rPr>
              <w:t>TT</w:t>
            </w:r>
          </w:p>
        </w:tc>
        <w:tc>
          <w:tcPr>
            <w:tcW w:w="1577" w:type="dxa"/>
            <w:vMerge w:val="restart"/>
            <w:vAlign w:val="center"/>
          </w:tcPr>
          <w:p w:rsidR="00742F16" w:rsidRPr="00AD2139" w:rsidRDefault="00742F16" w:rsidP="00A6535C">
            <w:pPr>
              <w:jc w:val="center"/>
              <w:rPr>
                <w:rFonts w:ascii="Arial" w:hAnsi="Arial" w:cs="Arial"/>
                <w:sz w:val="18"/>
                <w:szCs w:val="18"/>
              </w:rPr>
            </w:pPr>
            <w:r w:rsidRPr="00AD2139">
              <w:rPr>
                <w:rFonts w:ascii="Arial" w:hAnsi="Arial" w:cs="Arial"/>
                <w:sz w:val="18"/>
                <w:szCs w:val="18"/>
              </w:rPr>
              <w:t>Loại gạch</w:t>
            </w:r>
          </w:p>
        </w:tc>
        <w:tc>
          <w:tcPr>
            <w:tcW w:w="3591" w:type="dxa"/>
            <w:gridSpan w:val="3"/>
            <w:vAlign w:val="center"/>
          </w:tcPr>
          <w:p w:rsidR="00742F16" w:rsidRPr="00AD2139" w:rsidRDefault="00742F16" w:rsidP="00A6535C">
            <w:pPr>
              <w:jc w:val="center"/>
              <w:rPr>
                <w:rFonts w:ascii="Arial" w:hAnsi="Arial" w:cs="Arial"/>
                <w:sz w:val="18"/>
                <w:szCs w:val="18"/>
              </w:rPr>
            </w:pPr>
            <w:r w:rsidRPr="00AD2139">
              <w:rPr>
                <w:rFonts w:ascii="Arial" w:hAnsi="Arial" w:cs="Arial"/>
                <w:sz w:val="18"/>
                <w:szCs w:val="18"/>
              </w:rPr>
              <w:t>Kích thước, mm</w:t>
            </w:r>
          </w:p>
        </w:tc>
        <w:tc>
          <w:tcPr>
            <w:tcW w:w="3591" w:type="dxa"/>
            <w:gridSpan w:val="3"/>
            <w:vAlign w:val="center"/>
          </w:tcPr>
          <w:p w:rsidR="00742F16" w:rsidRPr="00AD2139" w:rsidRDefault="00742F16" w:rsidP="00A6535C">
            <w:pPr>
              <w:jc w:val="center"/>
              <w:rPr>
                <w:rFonts w:ascii="Arial" w:hAnsi="Arial" w:cs="Arial"/>
                <w:sz w:val="18"/>
                <w:szCs w:val="18"/>
              </w:rPr>
            </w:pPr>
            <w:r w:rsidRPr="00AD2139">
              <w:rPr>
                <w:rFonts w:ascii="Arial" w:hAnsi="Arial" w:cs="Arial"/>
                <w:sz w:val="18"/>
                <w:szCs w:val="18"/>
              </w:rPr>
              <w:t>Khuyết tật</w:t>
            </w:r>
          </w:p>
        </w:tc>
      </w:tr>
      <w:tr w:rsidR="00AD2139" w:rsidRPr="00AD2139" w:rsidTr="0064110B">
        <w:tc>
          <w:tcPr>
            <w:tcW w:w="568" w:type="dxa"/>
            <w:vMerge/>
            <w:vAlign w:val="center"/>
          </w:tcPr>
          <w:p w:rsidR="00742F16" w:rsidRPr="00AD2139" w:rsidRDefault="00742F16" w:rsidP="00A6535C">
            <w:pPr>
              <w:jc w:val="center"/>
              <w:rPr>
                <w:rFonts w:ascii="Arial" w:hAnsi="Arial" w:cs="Arial"/>
                <w:sz w:val="18"/>
                <w:szCs w:val="18"/>
              </w:rPr>
            </w:pPr>
          </w:p>
        </w:tc>
        <w:tc>
          <w:tcPr>
            <w:tcW w:w="1577" w:type="dxa"/>
            <w:vMerge/>
            <w:vAlign w:val="center"/>
          </w:tcPr>
          <w:p w:rsidR="00742F16" w:rsidRPr="00AD2139" w:rsidRDefault="00742F16" w:rsidP="00A6535C">
            <w:pPr>
              <w:jc w:val="center"/>
              <w:rPr>
                <w:rFonts w:ascii="Arial" w:hAnsi="Arial" w:cs="Arial"/>
                <w:sz w:val="18"/>
                <w:szCs w:val="18"/>
              </w:rPr>
            </w:pPr>
          </w:p>
        </w:tc>
        <w:tc>
          <w:tcPr>
            <w:tcW w:w="1197" w:type="dxa"/>
            <w:vAlign w:val="center"/>
          </w:tcPr>
          <w:p w:rsidR="00742F16" w:rsidRPr="00AD2139" w:rsidRDefault="00742F16" w:rsidP="00A6535C">
            <w:pPr>
              <w:jc w:val="center"/>
              <w:rPr>
                <w:rFonts w:ascii="Arial" w:hAnsi="Arial" w:cs="Arial"/>
                <w:sz w:val="18"/>
                <w:szCs w:val="18"/>
              </w:rPr>
            </w:pPr>
            <w:r w:rsidRPr="00AD2139">
              <w:rPr>
                <w:rFonts w:ascii="Arial" w:hAnsi="Arial" w:cs="Arial"/>
                <w:sz w:val="18"/>
                <w:szCs w:val="18"/>
              </w:rPr>
              <w:t>Dài</w:t>
            </w:r>
          </w:p>
        </w:tc>
        <w:tc>
          <w:tcPr>
            <w:tcW w:w="1197" w:type="dxa"/>
            <w:vAlign w:val="center"/>
          </w:tcPr>
          <w:p w:rsidR="00742F16" w:rsidRPr="00AD2139" w:rsidRDefault="00742F16" w:rsidP="00A6535C">
            <w:pPr>
              <w:jc w:val="center"/>
              <w:rPr>
                <w:rFonts w:ascii="Arial" w:hAnsi="Arial" w:cs="Arial"/>
                <w:sz w:val="18"/>
                <w:szCs w:val="18"/>
              </w:rPr>
            </w:pPr>
            <w:r w:rsidRPr="00AD2139">
              <w:rPr>
                <w:rFonts w:ascii="Arial" w:hAnsi="Arial" w:cs="Arial"/>
                <w:sz w:val="18"/>
                <w:szCs w:val="18"/>
              </w:rPr>
              <w:t>Rộng</w:t>
            </w:r>
          </w:p>
        </w:tc>
        <w:tc>
          <w:tcPr>
            <w:tcW w:w="1197" w:type="dxa"/>
            <w:vAlign w:val="center"/>
          </w:tcPr>
          <w:p w:rsidR="00742F16" w:rsidRPr="00AD2139" w:rsidRDefault="00742F16" w:rsidP="00A6535C">
            <w:pPr>
              <w:jc w:val="center"/>
              <w:rPr>
                <w:rFonts w:ascii="Arial" w:hAnsi="Arial" w:cs="Arial"/>
                <w:sz w:val="18"/>
                <w:szCs w:val="18"/>
              </w:rPr>
            </w:pPr>
            <w:r w:rsidRPr="00AD2139">
              <w:rPr>
                <w:rFonts w:ascii="Arial" w:hAnsi="Arial" w:cs="Arial"/>
                <w:sz w:val="18"/>
                <w:szCs w:val="18"/>
              </w:rPr>
              <w:t>Cao</w:t>
            </w:r>
          </w:p>
        </w:tc>
        <w:tc>
          <w:tcPr>
            <w:tcW w:w="1197" w:type="dxa"/>
            <w:vAlign w:val="center"/>
          </w:tcPr>
          <w:p w:rsidR="00742F16" w:rsidRPr="00AD2139" w:rsidRDefault="000D347D" w:rsidP="00A6535C">
            <w:pPr>
              <w:jc w:val="center"/>
              <w:rPr>
                <w:rFonts w:ascii="Arial" w:hAnsi="Arial" w:cs="Arial"/>
                <w:sz w:val="18"/>
                <w:szCs w:val="18"/>
              </w:rPr>
            </w:pPr>
            <w:r w:rsidRPr="00AD2139">
              <w:rPr>
                <w:rFonts w:ascii="Arial" w:hAnsi="Arial" w:cs="Arial"/>
                <w:sz w:val="18"/>
                <w:szCs w:val="18"/>
              </w:rPr>
              <w:t>Cong đáy</w:t>
            </w:r>
            <w:r w:rsidR="00A34177" w:rsidRPr="00AD2139">
              <w:rPr>
                <w:rFonts w:ascii="Arial" w:hAnsi="Arial" w:cs="Arial"/>
                <w:sz w:val="18"/>
                <w:szCs w:val="18"/>
              </w:rPr>
              <w:t>, mm</w:t>
            </w:r>
          </w:p>
        </w:tc>
        <w:tc>
          <w:tcPr>
            <w:tcW w:w="1197" w:type="dxa"/>
            <w:vAlign w:val="center"/>
          </w:tcPr>
          <w:p w:rsidR="00742F16" w:rsidRPr="00AD2139" w:rsidRDefault="00742F16" w:rsidP="00A6535C">
            <w:pPr>
              <w:jc w:val="center"/>
              <w:rPr>
                <w:rFonts w:ascii="Arial" w:hAnsi="Arial" w:cs="Arial"/>
                <w:sz w:val="18"/>
                <w:szCs w:val="18"/>
              </w:rPr>
            </w:pPr>
            <w:r w:rsidRPr="00AD2139">
              <w:rPr>
                <w:rFonts w:ascii="Arial" w:hAnsi="Arial" w:cs="Arial"/>
                <w:sz w:val="18"/>
                <w:szCs w:val="18"/>
              </w:rPr>
              <w:t>Nứt xuyên</w:t>
            </w:r>
          </w:p>
        </w:tc>
        <w:tc>
          <w:tcPr>
            <w:tcW w:w="1197" w:type="dxa"/>
            <w:vAlign w:val="center"/>
          </w:tcPr>
          <w:p w:rsidR="00742F16" w:rsidRPr="00AD2139" w:rsidRDefault="00742F16" w:rsidP="00A6535C">
            <w:pPr>
              <w:jc w:val="center"/>
              <w:rPr>
                <w:rFonts w:ascii="Arial" w:hAnsi="Arial" w:cs="Arial"/>
                <w:sz w:val="18"/>
                <w:szCs w:val="18"/>
              </w:rPr>
            </w:pPr>
            <w:r w:rsidRPr="00AD2139">
              <w:rPr>
                <w:rFonts w:ascii="Arial" w:hAnsi="Arial" w:cs="Arial"/>
                <w:sz w:val="18"/>
                <w:szCs w:val="18"/>
              </w:rPr>
              <w:t>Sứt cạnh</w:t>
            </w:r>
          </w:p>
        </w:tc>
      </w:tr>
      <w:tr w:rsidR="00AD2139" w:rsidRPr="00AD2139" w:rsidTr="0064110B">
        <w:tc>
          <w:tcPr>
            <w:tcW w:w="568" w:type="dxa"/>
            <w:vAlign w:val="center"/>
          </w:tcPr>
          <w:p w:rsidR="000D347D" w:rsidRPr="00AD2139" w:rsidRDefault="000D347D" w:rsidP="00A6535C">
            <w:pPr>
              <w:jc w:val="center"/>
              <w:rPr>
                <w:rFonts w:ascii="Arial" w:hAnsi="Arial" w:cs="Arial"/>
                <w:sz w:val="18"/>
                <w:szCs w:val="18"/>
              </w:rPr>
            </w:pPr>
            <w:r w:rsidRPr="00AD2139">
              <w:rPr>
                <w:rFonts w:ascii="Arial" w:hAnsi="Arial" w:cs="Arial"/>
                <w:sz w:val="18"/>
                <w:szCs w:val="18"/>
              </w:rPr>
              <w:t>1</w:t>
            </w:r>
          </w:p>
        </w:tc>
        <w:tc>
          <w:tcPr>
            <w:tcW w:w="1577" w:type="dxa"/>
            <w:vAlign w:val="center"/>
          </w:tcPr>
          <w:p w:rsidR="000D347D" w:rsidRPr="00AD2139" w:rsidRDefault="000D347D" w:rsidP="00A6535C">
            <w:pPr>
              <w:jc w:val="center"/>
              <w:rPr>
                <w:rFonts w:ascii="Arial" w:hAnsi="Arial" w:cs="Arial"/>
                <w:sz w:val="18"/>
                <w:szCs w:val="18"/>
              </w:rPr>
            </w:pPr>
            <w:r w:rsidRPr="00AD2139">
              <w:rPr>
                <w:rFonts w:ascii="Arial" w:hAnsi="Arial" w:cs="Arial"/>
                <w:sz w:val="18"/>
                <w:szCs w:val="18"/>
              </w:rPr>
              <w:t>RM.D5</w:t>
            </w:r>
          </w:p>
        </w:tc>
        <w:tc>
          <w:tcPr>
            <w:tcW w:w="1197" w:type="dxa"/>
            <w:vAlign w:val="center"/>
          </w:tcPr>
          <w:p w:rsidR="000D347D" w:rsidRPr="00AD2139" w:rsidRDefault="00FC44A7" w:rsidP="00A6535C">
            <w:pPr>
              <w:jc w:val="center"/>
              <w:rPr>
                <w:rFonts w:ascii="Arial" w:hAnsi="Arial" w:cs="Arial"/>
                <w:sz w:val="18"/>
                <w:szCs w:val="18"/>
              </w:rPr>
            </w:pPr>
            <w:r w:rsidRPr="00AD2139">
              <w:rPr>
                <w:rFonts w:ascii="Arial" w:hAnsi="Arial" w:cs="Arial"/>
                <w:sz w:val="18"/>
                <w:szCs w:val="18"/>
              </w:rPr>
              <w:t>221</w:t>
            </w:r>
          </w:p>
        </w:tc>
        <w:tc>
          <w:tcPr>
            <w:tcW w:w="1197" w:type="dxa"/>
            <w:vAlign w:val="center"/>
          </w:tcPr>
          <w:p w:rsidR="000D347D" w:rsidRPr="00AD2139" w:rsidRDefault="00FC44A7" w:rsidP="00A6535C">
            <w:pPr>
              <w:jc w:val="center"/>
              <w:rPr>
                <w:rFonts w:ascii="Arial" w:hAnsi="Arial" w:cs="Arial"/>
                <w:sz w:val="18"/>
                <w:szCs w:val="18"/>
              </w:rPr>
            </w:pPr>
            <w:r w:rsidRPr="00AD2139">
              <w:rPr>
                <w:rFonts w:ascii="Arial" w:hAnsi="Arial" w:cs="Arial"/>
                <w:sz w:val="18"/>
                <w:szCs w:val="18"/>
              </w:rPr>
              <w:t>105</w:t>
            </w:r>
          </w:p>
        </w:tc>
        <w:tc>
          <w:tcPr>
            <w:tcW w:w="1197" w:type="dxa"/>
            <w:vAlign w:val="center"/>
          </w:tcPr>
          <w:p w:rsidR="000D347D" w:rsidRPr="00AD2139" w:rsidRDefault="00FC44A7" w:rsidP="00A6535C">
            <w:pPr>
              <w:jc w:val="center"/>
              <w:rPr>
                <w:rFonts w:ascii="Arial" w:hAnsi="Arial" w:cs="Arial"/>
                <w:sz w:val="18"/>
                <w:szCs w:val="18"/>
              </w:rPr>
            </w:pPr>
            <w:r w:rsidRPr="00AD2139">
              <w:rPr>
                <w:rFonts w:ascii="Arial" w:hAnsi="Arial" w:cs="Arial"/>
                <w:sz w:val="18"/>
                <w:szCs w:val="18"/>
              </w:rPr>
              <w:t>61</w:t>
            </w:r>
          </w:p>
        </w:tc>
        <w:tc>
          <w:tcPr>
            <w:tcW w:w="1197" w:type="dxa"/>
            <w:vAlign w:val="center"/>
          </w:tcPr>
          <w:p w:rsidR="000D347D" w:rsidRPr="00AD2139" w:rsidRDefault="00A34177" w:rsidP="00A6535C">
            <w:pPr>
              <w:jc w:val="center"/>
              <w:rPr>
                <w:rFonts w:ascii="Arial" w:hAnsi="Arial" w:cs="Arial"/>
                <w:sz w:val="18"/>
                <w:szCs w:val="18"/>
              </w:rPr>
            </w:pPr>
            <w:r w:rsidRPr="00AD2139">
              <w:rPr>
                <w:rFonts w:ascii="Arial" w:hAnsi="Arial" w:cs="Arial"/>
                <w:sz w:val="18"/>
                <w:szCs w:val="18"/>
              </w:rPr>
              <w:t>3</w:t>
            </w:r>
          </w:p>
        </w:tc>
        <w:tc>
          <w:tcPr>
            <w:tcW w:w="1197" w:type="dxa"/>
            <w:vAlign w:val="center"/>
          </w:tcPr>
          <w:p w:rsidR="000D347D" w:rsidRPr="00AD2139" w:rsidRDefault="00A34177" w:rsidP="00A6535C">
            <w:pPr>
              <w:jc w:val="center"/>
              <w:rPr>
                <w:rFonts w:ascii="Arial" w:hAnsi="Arial" w:cs="Arial"/>
                <w:sz w:val="18"/>
                <w:szCs w:val="18"/>
              </w:rPr>
            </w:pPr>
            <w:r w:rsidRPr="00AD2139">
              <w:rPr>
                <w:rFonts w:ascii="Arial" w:hAnsi="Arial" w:cs="Arial"/>
                <w:sz w:val="18"/>
                <w:szCs w:val="18"/>
              </w:rPr>
              <w:t>ko</w:t>
            </w:r>
          </w:p>
        </w:tc>
        <w:tc>
          <w:tcPr>
            <w:tcW w:w="1197" w:type="dxa"/>
            <w:vAlign w:val="center"/>
          </w:tcPr>
          <w:p w:rsidR="000D347D" w:rsidRPr="00AD2139" w:rsidRDefault="00A34177" w:rsidP="00A6535C">
            <w:pPr>
              <w:jc w:val="center"/>
              <w:rPr>
                <w:rFonts w:ascii="Arial" w:hAnsi="Arial" w:cs="Arial"/>
                <w:sz w:val="18"/>
                <w:szCs w:val="18"/>
              </w:rPr>
            </w:pPr>
            <w:r w:rsidRPr="00AD2139">
              <w:rPr>
                <w:rFonts w:ascii="Arial" w:hAnsi="Arial" w:cs="Arial"/>
                <w:sz w:val="18"/>
                <w:szCs w:val="18"/>
              </w:rPr>
              <w:t>ko</w:t>
            </w:r>
          </w:p>
        </w:tc>
      </w:tr>
      <w:tr w:rsidR="00AD2139" w:rsidRPr="00AD2139" w:rsidTr="0064110B">
        <w:tc>
          <w:tcPr>
            <w:tcW w:w="568" w:type="dxa"/>
            <w:vAlign w:val="center"/>
          </w:tcPr>
          <w:p w:rsidR="000D347D" w:rsidRPr="00AD2139" w:rsidRDefault="000D347D" w:rsidP="00A6535C">
            <w:pPr>
              <w:jc w:val="center"/>
              <w:rPr>
                <w:rFonts w:ascii="Arial" w:hAnsi="Arial" w:cs="Arial"/>
                <w:sz w:val="18"/>
                <w:szCs w:val="18"/>
              </w:rPr>
            </w:pPr>
            <w:r w:rsidRPr="00AD2139">
              <w:rPr>
                <w:rFonts w:ascii="Arial" w:hAnsi="Arial" w:cs="Arial"/>
                <w:sz w:val="18"/>
                <w:szCs w:val="18"/>
              </w:rPr>
              <w:t>2</w:t>
            </w:r>
          </w:p>
        </w:tc>
        <w:tc>
          <w:tcPr>
            <w:tcW w:w="1577" w:type="dxa"/>
            <w:vAlign w:val="center"/>
          </w:tcPr>
          <w:p w:rsidR="000D347D" w:rsidRPr="00AD2139" w:rsidRDefault="000D347D" w:rsidP="00A6535C">
            <w:pPr>
              <w:jc w:val="center"/>
              <w:rPr>
                <w:rFonts w:ascii="Arial" w:hAnsi="Arial" w:cs="Arial"/>
                <w:sz w:val="18"/>
                <w:szCs w:val="18"/>
              </w:rPr>
            </w:pPr>
            <w:r w:rsidRPr="00AD2139">
              <w:rPr>
                <w:rFonts w:ascii="Arial" w:hAnsi="Arial" w:cs="Arial"/>
                <w:sz w:val="18"/>
                <w:szCs w:val="18"/>
              </w:rPr>
              <w:t>RM.D10</w:t>
            </w:r>
          </w:p>
        </w:tc>
        <w:tc>
          <w:tcPr>
            <w:tcW w:w="1197" w:type="dxa"/>
            <w:vAlign w:val="center"/>
          </w:tcPr>
          <w:p w:rsidR="000D347D" w:rsidRPr="00AD2139" w:rsidRDefault="00FC44A7" w:rsidP="00A6535C">
            <w:pPr>
              <w:jc w:val="center"/>
              <w:rPr>
                <w:rFonts w:ascii="Arial" w:hAnsi="Arial" w:cs="Arial"/>
                <w:sz w:val="18"/>
                <w:szCs w:val="18"/>
              </w:rPr>
            </w:pPr>
            <w:r w:rsidRPr="00AD2139">
              <w:rPr>
                <w:rFonts w:ascii="Arial" w:hAnsi="Arial" w:cs="Arial"/>
                <w:sz w:val="18"/>
                <w:szCs w:val="18"/>
              </w:rPr>
              <w:t>222</w:t>
            </w:r>
          </w:p>
        </w:tc>
        <w:tc>
          <w:tcPr>
            <w:tcW w:w="1197" w:type="dxa"/>
            <w:vAlign w:val="center"/>
          </w:tcPr>
          <w:p w:rsidR="000D347D" w:rsidRPr="00AD2139" w:rsidRDefault="00FC44A7" w:rsidP="00A6535C">
            <w:pPr>
              <w:jc w:val="center"/>
              <w:rPr>
                <w:rFonts w:ascii="Arial" w:hAnsi="Arial" w:cs="Arial"/>
                <w:sz w:val="18"/>
                <w:szCs w:val="18"/>
              </w:rPr>
            </w:pPr>
            <w:r w:rsidRPr="00AD2139">
              <w:rPr>
                <w:rFonts w:ascii="Arial" w:hAnsi="Arial" w:cs="Arial"/>
                <w:sz w:val="18"/>
                <w:szCs w:val="18"/>
              </w:rPr>
              <w:t>106</w:t>
            </w:r>
          </w:p>
        </w:tc>
        <w:tc>
          <w:tcPr>
            <w:tcW w:w="1197" w:type="dxa"/>
            <w:vAlign w:val="center"/>
          </w:tcPr>
          <w:p w:rsidR="000D347D" w:rsidRPr="00AD2139" w:rsidRDefault="00FC44A7" w:rsidP="00A6535C">
            <w:pPr>
              <w:jc w:val="center"/>
              <w:rPr>
                <w:rFonts w:ascii="Arial" w:hAnsi="Arial" w:cs="Arial"/>
                <w:sz w:val="18"/>
                <w:szCs w:val="18"/>
              </w:rPr>
            </w:pPr>
            <w:r w:rsidRPr="00AD2139">
              <w:rPr>
                <w:rFonts w:ascii="Arial" w:hAnsi="Arial" w:cs="Arial"/>
                <w:sz w:val="18"/>
                <w:szCs w:val="18"/>
              </w:rPr>
              <w:t>62</w:t>
            </w:r>
          </w:p>
        </w:tc>
        <w:tc>
          <w:tcPr>
            <w:tcW w:w="1197" w:type="dxa"/>
            <w:vAlign w:val="center"/>
          </w:tcPr>
          <w:p w:rsidR="000D347D" w:rsidRPr="00AD2139" w:rsidRDefault="00A34177" w:rsidP="00A6535C">
            <w:pPr>
              <w:jc w:val="center"/>
              <w:rPr>
                <w:rFonts w:ascii="Arial" w:hAnsi="Arial" w:cs="Arial"/>
                <w:sz w:val="18"/>
                <w:szCs w:val="18"/>
              </w:rPr>
            </w:pPr>
            <w:r w:rsidRPr="00AD2139">
              <w:rPr>
                <w:rFonts w:ascii="Arial" w:hAnsi="Arial" w:cs="Arial"/>
                <w:sz w:val="18"/>
                <w:szCs w:val="18"/>
              </w:rPr>
              <w:t>2</w:t>
            </w:r>
          </w:p>
        </w:tc>
        <w:tc>
          <w:tcPr>
            <w:tcW w:w="1197" w:type="dxa"/>
            <w:vAlign w:val="center"/>
          </w:tcPr>
          <w:p w:rsidR="000D347D" w:rsidRPr="00AD2139" w:rsidRDefault="00A34177" w:rsidP="00A6535C">
            <w:pPr>
              <w:jc w:val="center"/>
              <w:rPr>
                <w:rFonts w:ascii="Arial" w:hAnsi="Arial" w:cs="Arial"/>
                <w:sz w:val="18"/>
                <w:szCs w:val="18"/>
              </w:rPr>
            </w:pPr>
            <w:r w:rsidRPr="00AD2139">
              <w:rPr>
                <w:rFonts w:ascii="Arial" w:hAnsi="Arial" w:cs="Arial"/>
                <w:sz w:val="18"/>
                <w:szCs w:val="18"/>
              </w:rPr>
              <w:t>ko</w:t>
            </w:r>
          </w:p>
        </w:tc>
        <w:tc>
          <w:tcPr>
            <w:tcW w:w="1197" w:type="dxa"/>
            <w:vAlign w:val="center"/>
          </w:tcPr>
          <w:p w:rsidR="000D347D" w:rsidRPr="00AD2139" w:rsidRDefault="00A34177" w:rsidP="00A6535C">
            <w:pPr>
              <w:jc w:val="center"/>
              <w:rPr>
                <w:rFonts w:ascii="Arial" w:hAnsi="Arial" w:cs="Arial"/>
                <w:sz w:val="18"/>
                <w:szCs w:val="18"/>
              </w:rPr>
            </w:pPr>
            <w:r w:rsidRPr="00AD2139">
              <w:rPr>
                <w:rFonts w:ascii="Arial" w:hAnsi="Arial" w:cs="Arial"/>
                <w:sz w:val="18"/>
                <w:szCs w:val="18"/>
              </w:rPr>
              <w:t>ko</w:t>
            </w:r>
          </w:p>
        </w:tc>
      </w:tr>
      <w:tr w:rsidR="00AD2139" w:rsidRPr="00AD2139" w:rsidTr="0064110B">
        <w:tc>
          <w:tcPr>
            <w:tcW w:w="568" w:type="dxa"/>
            <w:vAlign w:val="center"/>
          </w:tcPr>
          <w:p w:rsidR="000D347D" w:rsidRPr="00AD2139" w:rsidRDefault="000D347D" w:rsidP="00A6535C">
            <w:pPr>
              <w:jc w:val="center"/>
              <w:rPr>
                <w:rFonts w:ascii="Arial" w:hAnsi="Arial" w:cs="Arial"/>
                <w:sz w:val="18"/>
                <w:szCs w:val="18"/>
              </w:rPr>
            </w:pPr>
            <w:r w:rsidRPr="00AD2139">
              <w:rPr>
                <w:rFonts w:ascii="Arial" w:hAnsi="Arial" w:cs="Arial"/>
                <w:sz w:val="18"/>
                <w:szCs w:val="18"/>
              </w:rPr>
              <w:t>3</w:t>
            </w:r>
          </w:p>
        </w:tc>
        <w:tc>
          <w:tcPr>
            <w:tcW w:w="1577" w:type="dxa"/>
            <w:vAlign w:val="center"/>
          </w:tcPr>
          <w:p w:rsidR="000D347D" w:rsidRPr="00AD2139" w:rsidRDefault="000D347D" w:rsidP="00A6535C">
            <w:pPr>
              <w:jc w:val="center"/>
              <w:rPr>
                <w:rFonts w:ascii="Arial" w:hAnsi="Arial" w:cs="Arial"/>
                <w:sz w:val="18"/>
                <w:szCs w:val="18"/>
              </w:rPr>
            </w:pPr>
            <w:r w:rsidRPr="00AD2139">
              <w:rPr>
                <w:rFonts w:ascii="Arial" w:hAnsi="Arial" w:cs="Arial"/>
                <w:sz w:val="18"/>
                <w:szCs w:val="18"/>
              </w:rPr>
              <w:t>RM.N5</w:t>
            </w:r>
          </w:p>
        </w:tc>
        <w:tc>
          <w:tcPr>
            <w:tcW w:w="1197" w:type="dxa"/>
            <w:vAlign w:val="center"/>
          </w:tcPr>
          <w:p w:rsidR="000D347D" w:rsidRPr="00AD2139" w:rsidRDefault="004D032D" w:rsidP="00A6535C">
            <w:pPr>
              <w:jc w:val="center"/>
              <w:rPr>
                <w:rFonts w:ascii="Arial" w:hAnsi="Arial" w:cs="Arial"/>
                <w:sz w:val="18"/>
                <w:szCs w:val="18"/>
              </w:rPr>
            </w:pPr>
            <w:r w:rsidRPr="00AD2139">
              <w:rPr>
                <w:rFonts w:ascii="Arial" w:hAnsi="Arial" w:cs="Arial"/>
                <w:sz w:val="18"/>
                <w:szCs w:val="18"/>
              </w:rPr>
              <w:t>180</w:t>
            </w:r>
          </w:p>
        </w:tc>
        <w:tc>
          <w:tcPr>
            <w:tcW w:w="1197" w:type="dxa"/>
            <w:vAlign w:val="center"/>
          </w:tcPr>
          <w:p w:rsidR="000D347D" w:rsidRPr="00AD2139" w:rsidRDefault="004D032D" w:rsidP="00A6535C">
            <w:pPr>
              <w:jc w:val="center"/>
              <w:rPr>
                <w:rFonts w:ascii="Arial" w:hAnsi="Arial" w:cs="Arial"/>
                <w:sz w:val="18"/>
                <w:szCs w:val="18"/>
              </w:rPr>
            </w:pPr>
            <w:r w:rsidRPr="00AD2139">
              <w:rPr>
                <w:rFonts w:ascii="Arial" w:hAnsi="Arial" w:cs="Arial"/>
                <w:sz w:val="18"/>
                <w:szCs w:val="18"/>
              </w:rPr>
              <w:t>80</w:t>
            </w:r>
          </w:p>
        </w:tc>
        <w:tc>
          <w:tcPr>
            <w:tcW w:w="1197" w:type="dxa"/>
            <w:vAlign w:val="center"/>
          </w:tcPr>
          <w:p w:rsidR="000D347D" w:rsidRPr="00AD2139" w:rsidRDefault="004D032D" w:rsidP="00A6535C">
            <w:pPr>
              <w:jc w:val="center"/>
              <w:rPr>
                <w:rFonts w:ascii="Arial" w:hAnsi="Arial" w:cs="Arial"/>
                <w:sz w:val="18"/>
                <w:szCs w:val="18"/>
              </w:rPr>
            </w:pPr>
            <w:r w:rsidRPr="00AD2139">
              <w:rPr>
                <w:rFonts w:ascii="Arial" w:hAnsi="Arial" w:cs="Arial"/>
                <w:sz w:val="18"/>
                <w:szCs w:val="18"/>
              </w:rPr>
              <w:t>40</w:t>
            </w:r>
          </w:p>
        </w:tc>
        <w:tc>
          <w:tcPr>
            <w:tcW w:w="1197" w:type="dxa"/>
            <w:vAlign w:val="center"/>
          </w:tcPr>
          <w:p w:rsidR="000D347D" w:rsidRPr="00AD2139" w:rsidRDefault="00A34177" w:rsidP="00A6535C">
            <w:pPr>
              <w:jc w:val="center"/>
              <w:rPr>
                <w:rFonts w:ascii="Arial" w:hAnsi="Arial" w:cs="Arial"/>
                <w:sz w:val="18"/>
                <w:szCs w:val="18"/>
              </w:rPr>
            </w:pPr>
            <w:r w:rsidRPr="00AD2139">
              <w:rPr>
                <w:rFonts w:ascii="Arial" w:hAnsi="Arial" w:cs="Arial"/>
                <w:sz w:val="18"/>
                <w:szCs w:val="18"/>
              </w:rPr>
              <w:t>1</w:t>
            </w:r>
          </w:p>
        </w:tc>
        <w:tc>
          <w:tcPr>
            <w:tcW w:w="1197" w:type="dxa"/>
            <w:vAlign w:val="center"/>
          </w:tcPr>
          <w:p w:rsidR="000D347D" w:rsidRPr="00AD2139" w:rsidRDefault="00A34177" w:rsidP="00A6535C">
            <w:pPr>
              <w:jc w:val="center"/>
              <w:rPr>
                <w:rFonts w:ascii="Arial" w:hAnsi="Arial" w:cs="Arial"/>
                <w:sz w:val="18"/>
                <w:szCs w:val="18"/>
              </w:rPr>
            </w:pPr>
            <w:r w:rsidRPr="00AD2139">
              <w:rPr>
                <w:rFonts w:ascii="Arial" w:hAnsi="Arial" w:cs="Arial"/>
                <w:sz w:val="18"/>
                <w:szCs w:val="18"/>
              </w:rPr>
              <w:t>ko</w:t>
            </w:r>
          </w:p>
        </w:tc>
        <w:tc>
          <w:tcPr>
            <w:tcW w:w="1197" w:type="dxa"/>
            <w:vAlign w:val="center"/>
          </w:tcPr>
          <w:p w:rsidR="000D347D" w:rsidRPr="00AD2139" w:rsidRDefault="00A34177" w:rsidP="00A6535C">
            <w:pPr>
              <w:jc w:val="center"/>
              <w:rPr>
                <w:rFonts w:ascii="Arial" w:hAnsi="Arial" w:cs="Arial"/>
                <w:sz w:val="18"/>
                <w:szCs w:val="18"/>
              </w:rPr>
            </w:pPr>
            <w:r w:rsidRPr="00AD2139">
              <w:rPr>
                <w:rFonts w:ascii="Arial" w:hAnsi="Arial" w:cs="Arial"/>
                <w:sz w:val="18"/>
                <w:szCs w:val="18"/>
              </w:rPr>
              <w:t>ko</w:t>
            </w:r>
          </w:p>
        </w:tc>
      </w:tr>
      <w:tr w:rsidR="00AD2139" w:rsidRPr="00AD2139" w:rsidTr="0064110B">
        <w:tc>
          <w:tcPr>
            <w:tcW w:w="568" w:type="dxa"/>
            <w:vAlign w:val="center"/>
          </w:tcPr>
          <w:p w:rsidR="000D347D" w:rsidRPr="00AD2139" w:rsidRDefault="000D347D" w:rsidP="00A6535C">
            <w:pPr>
              <w:jc w:val="center"/>
              <w:rPr>
                <w:rFonts w:ascii="Arial" w:hAnsi="Arial" w:cs="Arial"/>
                <w:sz w:val="18"/>
                <w:szCs w:val="18"/>
              </w:rPr>
            </w:pPr>
            <w:r w:rsidRPr="00AD2139">
              <w:rPr>
                <w:rFonts w:ascii="Arial" w:hAnsi="Arial" w:cs="Arial"/>
                <w:sz w:val="18"/>
                <w:szCs w:val="18"/>
              </w:rPr>
              <w:t>4</w:t>
            </w:r>
          </w:p>
        </w:tc>
        <w:tc>
          <w:tcPr>
            <w:tcW w:w="1577" w:type="dxa"/>
            <w:vAlign w:val="center"/>
          </w:tcPr>
          <w:p w:rsidR="000D347D" w:rsidRPr="00AD2139" w:rsidRDefault="000D347D" w:rsidP="00A6535C">
            <w:pPr>
              <w:jc w:val="center"/>
              <w:rPr>
                <w:rFonts w:ascii="Arial" w:hAnsi="Arial" w:cs="Arial"/>
                <w:sz w:val="18"/>
                <w:szCs w:val="18"/>
              </w:rPr>
            </w:pPr>
            <w:r w:rsidRPr="00AD2139">
              <w:rPr>
                <w:rFonts w:ascii="Arial" w:hAnsi="Arial" w:cs="Arial"/>
                <w:sz w:val="18"/>
                <w:szCs w:val="18"/>
              </w:rPr>
              <w:t>RM.N10</w:t>
            </w:r>
          </w:p>
        </w:tc>
        <w:tc>
          <w:tcPr>
            <w:tcW w:w="1197" w:type="dxa"/>
            <w:vAlign w:val="center"/>
          </w:tcPr>
          <w:p w:rsidR="000D347D" w:rsidRPr="00AD2139" w:rsidRDefault="004D032D" w:rsidP="00A6535C">
            <w:pPr>
              <w:jc w:val="center"/>
              <w:rPr>
                <w:rFonts w:ascii="Arial" w:hAnsi="Arial" w:cs="Arial"/>
                <w:sz w:val="18"/>
                <w:szCs w:val="18"/>
              </w:rPr>
            </w:pPr>
            <w:r w:rsidRPr="00AD2139">
              <w:rPr>
                <w:rFonts w:ascii="Arial" w:hAnsi="Arial" w:cs="Arial"/>
                <w:sz w:val="18"/>
                <w:szCs w:val="18"/>
              </w:rPr>
              <w:t>180</w:t>
            </w:r>
          </w:p>
        </w:tc>
        <w:tc>
          <w:tcPr>
            <w:tcW w:w="1197" w:type="dxa"/>
            <w:vAlign w:val="center"/>
          </w:tcPr>
          <w:p w:rsidR="000D347D" w:rsidRPr="00AD2139" w:rsidRDefault="004D032D" w:rsidP="00A6535C">
            <w:pPr>
              <w:jc w:val="center"/>
              <w:rPr>
                <w:rFonts w:ascii="Arial" w:hAnsi="Arial" w:cs="Arial"/>
                <w:sz w:val="18"/>
                <w:szCs w:val="18"/>
              </w:rPr>
            </w:pPr>
            <w:r w:rsidRPr="00AD2139">
              <w:rPr>
                <w:rFonts w:ascii="Arial" w:hAnsi="Arial" w:cs="Arial"/>
                <w:sz w:val="18"/>
                <w:szCs w:val="18"/>
              </w:rPr>
              <w:t>80</w:t>
            </w:r>
          </w:p>
        </w:tc>
        <w:tc>
          <w:tcPr>
            <w:tcW w:w="1197" w:type="dxa"/>
            <w:vAlign w:val="center"/>
          </w:tcPr>
          <w:p w:rsidR="000D347D" w:rsidRPr="00AD2139" w:rsidRDefault="004D032D" w:rsidP="00A6535C">
            <w:pPr>
              <w:jc w:val="center"/>
              <w:rPr>
                <w:rFonts w:ascii="Arial" w:hAnsi="Arial" w:cs="Arial"/>
                <w:sz w:val="18"/>
                <w:szCs w:val="18"/>
              </w:rPr>
            </w:pPr>
            <w:r w:rsidRPr="00AD2139">
              <w:rPr>
                <w:rFonts w:ascii="Arial" w:hAnsi="Arial" w:cs="Arial"/>
                <w:sz w:val="18"/>
                <w:szCs w:val="18"/>
              </w:rPr>
              <w:t>40</w:t>
            </w:r>
          </w:p>
        </w:tc>
        <w:tc>
          <w:tcPr>
            <w:tcW w:w="1197" w:type="dxa"/>
            <w:vAlign w:val="center"/>
          </w:tcPr>
          <w:p w:rsidR="000D347D" w:rsidRPr="00AD2139" w:rsidRDefault="00A34177" w:rsidP="00A6535C">
            <w:pPr>
              <w:jc w:val="center"/>
              <w:rPr>
                <w:rFonts w:ascii="Arial" w:hAnsi="Arial" w:cs="Arial"/>
                <w:sz w:val="18"/>
                <w:szCs w:val="18"/>
              </w:rPr>
            </w:pPr>
            <w:r w:rsidRPr="00AD2139">
              <w:rPr>
                <w:rFonts w:ascii="Arial" w:hAnsi="Arial" w:cs="Arial"/>
                <w:sz w:val="18"/>
                <w:szCs w:val="18"/>
              </w:rPr>
              <w:t>2</w:t>
            </w:r>
          </w:p>
        </w:tc>
        <w:tc>
          <w:tcPr>
            <w:tcW w:w="1197" w:type="dxa"/>
            <w:vAlign w:val="center"/>
          </w:tcPr>
          <w:p w:rsidR="000D347D" w:rsidRPr="00AD2139" w:rsidRDefault="00A34177" w:rsidP="00A6535C">
            <w:pPr>
              <w:jc w:val="center"/>
              <w:rPr>
                <w:rFonts w:ascii="Arial" w:hAnsi="Arial" w:cs="Arial"/>
                <w:sz w:val="18"/>
                <w:szCs w:val="18"/>
              </w:rPr>
            </w:pPr>
            <w:r w:rsidRPr="00AD2139">
              <w:rPr>
                <w:rFonts w:ascii="Arial" w:hAnsi="Arial" w:cs="Arial"/>
                <w:sz w:val="18"/>
                <w:szCs w:val="18"/>
              </w:rPr>
              <w:t>ko</w:t>
            </w:r>
          </w:p>
        </w:tc>
        <w:tc>
          <w:tcPr>
            <w:tcW w:w="1197" w:type="dxa"/>
            <w:vAlign w:val="center"/>
          </w:tcPr>
          <w:p w:rsidR="000D347D" w:rsidRPr="00AD2139" w:rsidRDefault="00A34177" w:rsidP="00A6535C">
            <w:pPr>
              <w:jc w:val="center"/>
              <w:rPr>
                <w:rFonts w:ascii="Arial" w:hAnsi="Arial" w:cs="Arial"/>
                <w:sz w:val="18"/>
                <w:szCs w:val="18"/>
              </w:rPr>
            </w:pPr>
            <w:r w:rsidRPr="00AD2139">
              <w:rPr>
                <w:rFonts w:ascii="Arial" w:hAnsi="Arial" w:cs="Arial"/>
                <w:sz w:val="18"/>
                <w:szCs w:val="18"/>
              </w:rPr>
              <w:t>ko</w:t>
            </w:r>
          </w:p>
        </w:tc>
      </w:tr>
    </w:tbl>
    <w:p w:rsidR="00BF4241" w:rsidRPr="00AD2139" w:rsidRDefault="00BF4241" w:rsidP="00A6535C">
      <w:pPr>
        <w:spacing w:before="0" w:line="240" w:lineRule="auto"/>
        <w:jc w:val="center"/>
        <w:rPr>
          <w:rFonts w:ascii="Arial" w:hAnsi="Arial" w:cs="Arial"/>
          <w:sz w:val="18"/>
          <w:szCs w:val="18"/>
        </w:rPr>
      </w:pPr>
    </w:p>
    <w:p w:rsidR="003864A4" w:rsidRPr="00AD2139" w:rsidRDefault="003864A4" w:rsidP="00BF4241">
      <w:pPr>
        <w:spacing w:before="0" w:after="60" w:line="240" w:lineRule="auto"/>
        <w:jc w:val="center"/>
        <w:rPr>
          <w:rFonts w:ascii="Arial" w:hAnsi="Arial" w:cs="Arial"/>
          <w:i/>
          <w:sz w:val="18"/>
          <w:szCs w:val="18"/>
        </w:rPr>
      </w:pPr>
      <w:r w:rsidRPr="00AD2139">
        <w:rPr>
          <w:rFonts w:ascii="Arial" w:hAnsi="Arial" w:cs="Arial"/>
          <w:b/>
          <w:sz w:val="18"/>
          <w:szCs w:val="18"/>
        </w:rPr>
        <w:t xml:space="preserve">Bảng </w:t>
      </w:r>
      <w:r w:rsidR="000D347D" w:rsidRPr="00AD2139">
        <w:rPr>
          <w:rFonts w:ascii="Arial" w:hAnsi="Arial" w:cs="Arial"/>
          <w:b/>
          <w:sz w:val="18"/>
          <w:szCs w:val="18"/>
        </w:rPr>
        <w:t>2</w:t>
      </w:r>
      <w:r w:rsidRPr="00AD2139">
        <w:rPr>
          <w:rFonts w:ascii="Arial" w:hAnsi="Arial" w:cs="Arial"/>
          <w:b/>
          <w:sz w:val="18"/>
          <w:szCs w:val="18"/>
        </w:rPr>
        <w:t>.</w:t>
      </w:r>
      <w:r w:rsidRPr="00AD2139">
        <w:rPr>
          <w:rFonts w:ascii="Arial" w:hAnsi="Arial" w:cs="Arial"/>
          <w:sz w:val="18"/>
          <w:szCs w:val="18"/>
        </w:rPr>
        <w:t xml:space="preserve"> </w:t>
      </w:r>
      <w:r w:rsidRPr="00AD2139">
        <w:rPr>
          <w:rFonts w:ascii="Arial" w:hAnsi="Arial" w:cs="Arial"/>
          <w:i/>
          <w:sz w:val="18"/>
          <w:szCs w:val="18"/>
        </w:rPr>
        <w:t>Tính chất của gạ</w:t>
      </w:r>
      <w:r w:rsidR="004C6E56" w:rsidRPr="00AD2139">
        <w:rPr>
          <w:rFonts w:ascii="Arial" w:hAnsi="Arial" w:cs="Arial"/>
          <w:i/>
          <w:sz w:val="18"/>
          <w:szCs w:val="18"/>
        </w:rPr>
        <w:t>ch không nung</w:t>
      </w:r>
    </w:p>
    <w:tbl>
      <w:tblPr>
        <w:tblStyle w:val="TableGrid"/>
        <w:tblW w:w="0" w:type="auto"/>
        <w:tblInd w:w="249"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568"/>
        <w:gridCol w:w="2375"/>
        <w:gridCol w:w="1596"/>
        <w:gridCol w:w="1596"/>
        <w:gridCol w:w="1596"/>
        <w:gridCol w:w="1596"/>
      </w:tblGrid>
      <w:tr w:rsidR="00AD2139" w:rsidRPr="00AD2139" w:rsidTr="0064110B">
        <w:tc>
          <w:tcPr>
            <w:tcW w:w="568" w:type="dxa"/>
            <w:vMerge w:val="restart"/>
            <w:vAlign w:val="center"/>
          </w:tcPr>
          <w:p w:rsidR="003864A4" w:rsidRPr="00AD2139" w:rsidRDefault="003864A4" w:rsidP="00A6535C">
            <w:pPr>
              <w:jc w:val="center"/>
              <w:rPr>
                <w:rFonts w:ascii="Arial" w:hAnsi="Arial" w:cs="Arial"/>
                <w:sz w:val="18"/>
                <w:szCs w:val="18"/>
              </w:rPr>
            </w:pPr>
            <w:r w:rsidRPr="00AD2139">
              <w:rPr>
                <w:rFonts w:ascii="Arial" w:hAnsi="Arial" w:cs="Arial"/>
                <w:sz w:val="18"/>
                <w:szCs w:val="18"/>
              </w:rPr>
              <w:t>TT</w:t>
            </w:r>
          </w:p>
        </w:tc>
        <w:tc>
          <w:tcPr>
            <w:tcW w:w="2375" w:type="dxa"/>
            <w:vMerge w:val="restart"/>
            <w:vAlign w:val="center"/>
          </w:tcPr>
          <w:p w:rsidR="003864A4" w:rsidRPr="00AD2139" w:rsidRDefault="003864A4" w:rsidP="00A6535C">
            <w:pPr>
              <w:jc w:val="center"/>
              <w:rPr>
                <w:rFonts w:ascii="Arial" w:hAnsi="Arial" w:cs="Arial"/>
                <w:sz w:val="18"/>
                <w:szCs w:val="18"/>
              </w:rPr>
            </w:pPr>
            <w:r w:rsidRPr="00AD2139">
              <w:rPr>
                <w:rFonts w:ascii="Arial" w:hAnsi="Arial" w:cs="Arial"/>
                <w:sz w:val="18"/>
                <w:szCs w:val="18"/>
              </w:rPr>
              <w:t>Loại gạch</w:t>
            </w:r>
          </w:p>
        </w:tc>
        <w:tc>
          <w:tcPr>
            <w:tcW w:w="6384" w:type="dxa"/>
            <w:gridSpan w:val="4"/>
            <w:vAlign w:val="center"/>
          </w:tcPr>
          <w:p w:rsidR="003864A4" w:rsidRPr="00AD2139" w:rsidRDefault="003864A4" w:rsidP="00A6535C">
            <w:pPr>
              <w:jc w:val="center"/>
              <w:rPr>
                <w:rFonts w:ascii="Arial" w:hAnsi="Arial" w:cs="Arial"/>
                <w:sz w:val="18"/>
                <w:szCs w:val="18"/>
              </w:rPr>
            </w:pPr>
            <w:r w:rsidRPr="00AD2139">
              <w:rPr>
                <w:rFonts w:ascii="Arial" w:hAnsi="Arial" w:cs="Arial"/>
                <w:sz w:val="18"/>
                <w:szCs w:val="18"/>
              </w:rPr>
              <w:t>Tính chất</w:t>
            </w:r>
          </w:p>
        </w:tc>
      </w:tr>
      <w:tr w:rsidR="00AD2139" w:rsidRPr="00AD2139" w:rsidTr="0064110B">
        <w:tc>
          <w:tcPr>
            <w:tcW w:w="568" w:type="dxa"/>
            <w:vMerge/>
            <w:vAlign w:val="center"/>
          </w:tcPr>
          <w:p w:rsidR="003864A4" w:rsidRPr="00AD2139" w:rsidRDefault="003864A4" w:rsidP="00A6535C">
            <w:pPr>
              <w:jc w:val="center"/>
              <w:rPr>
                <w:rFonts w:ascii="Arial" w:hAnsi="Arial" w:cs="Arial"/>
                <w:sz w:val="18"/>
                <w:szCs w:val="18"/>
              </w:rPr>
            </w:pPr>
          </w:p>
        </w:tc>
        <w:tc>
          <w:tcPr>
            <w:tcW w:w="2375" w:type="dxa"/>
            <w:vMerge/>
            <w:vAlign w:val="center"/>
          </w:tcPr>
          <w:p w:rsidR="003864A4" w:rsidRPr="00AD2139" w:rsidRDefault="003864A4" w:rsidP="00A6535C">
            <w:pPr>
              <w:jc w:val="center"/>
              <w:rPr>
                <w:rFonts w:ascii="Arial" w:hAnsi="Arial" w:cs="Arial"/>
                <w:sz w:val="18"/>
                <w:szCs w:val="18"/>
              </w:rPr>
            </w:pPr>
          </w:p>
        </w:tc>
        <w:tc>
          <w:tcPr>
            <w:tcW w:w="1596" w:type="dxa"/>
            <w:vAlign w:val="center"/>
          </w:tcPr>
          <w:p w:rsidR="003864A4" w:rsidRPr="00AD2139" w:rsidRDefault="003864A4" w:rsidP="00A6535C">
            <w:pPr>
              <w:jc w:val="center"/>
              <w:rPr>
                <w:rFonts w:ascii="Arial" w:hAnsi="Arial" w:cs="Arial"/>
                <w:sz w:val="18"/>
                <w:szCs w:val="18"/>
              </w:rPr>
            </w:pPr>
            <w:r w:rsidRPr="00AD2139">
              <w:rPr>
                <w:rFonts w:ascii="Arial" w:hAnsi="Arial" w:cs="Arial"/>
                <w:sz w:val="18"/>
                <w:szCs w:val="18"/>
              </w:rPr>
              <w:t>Cường độ chịu nén, MPa</w:t>
            </w:r>
          </w:p>
        </w:tc>
        <w:tc>
          <w:tcPr>
            <w:tcW w:w="1596" w:type="dxa"/>
            <w:vAlign w:val="center"/>
          </w:tcPr>
          <w:p w:rsidR="003864A4" w:rsidRPr="00AD2139" w:rsidRDefault="003864A4" w:rsidP="00A6535C">
            <w:pPr>
              <w:jc w:val="center"/>
              <w:rPr>
                <w:rFonts w:ascii="Arial" w:hAnsi="Arial" w:cs="Arial"/>
                <w:sz w:val="18"/>
                <w:szCs w:val="18"/>
              </w:rPr>
            </w:pPr>
            <w:r w:rsidRPr="00AD2139">
              <w:rPr>
                <w:rFonts w:ascii="Arial" w:hAnsi="Arial" w:cs="Arial"/>
                <w:sz w:val="18"/>
                <w:szCs w:val="18"/>
              </w:rPr>
              <w:t>Độ hút nước, %</w:t>
            </w:r>
          </w:p>
        </w:tc>
        <w:tc>
          <w:tcPr>
            <w:tcW w:w="1596" w:type="dxa"/>
            <w:vAlign w:val="center"/>
          </w:tcPr>
          <w:p w:rsidR="003864A4" w:rsidRPr="00AD2139" w:rsidRDefault="003864A4" w:rsidP="00A6535C">
            <w:pPr>
              <w:jc w:val="center"/>
              <w:rPr>
                <w:rFonts w:ascii="Arial" w:hAnsi="Arial" w:cs="Arial"/>
                <w:sz w:val="18"/>
                <w:szCs w:val="18"/>
              </w:rPr>
            </w:pPr>
            <w:r w:rsidRPr="00AD2139">
              <w:rPr>
                <w:rFonts w:ascii="Arial" w:hAnsi="Arial" w:cs="Arial"/>
                <w:sz w:val="18"/>
                <w:szCs w:val="18"/>
              </w:rPr>
              <w:t>Hệ số hóa mềm</w:t>
            </w:r>
          </w:p>
        </w:tc>
        <w:tc>
          <w:tcPr>
            <w:tcW w:w="1596" w:type="dxa"/>
            <w:vAlign w:val="center"/>
          </w:tcPr>
          <w:p w:rsidR="003864A4" w:rsidRPr="00AD2139" w:rsidRDefault="003864A4" w:rsidP="00A6535C">
            <w:pPr>
              <w:jc w:val="center"/>
              <w:rPr>
                <w:rFonts w:ascii="Arial" w:hAnsi="Arial" w:cs="Arial"/>
                <w:sz w:val="18"/>
                <w:szCs w:val="18"/>
              </w:rPr>
            </w:pPr>
            <w:r w:rsidRPr="00AD2139">
              <w:rPr>
                <w:rFonts w:ascii="Arial" w:hAnsi="Arial" w:cs="Arial"/>
                <w:sz w:val="18"/>
                <w:szCs w:val="18"/>
              </w:rPr>
              <w:t>pH</w:t>
            </w:r>
          </w:p>
        </w:tc>
      </w:tr>
      <w:tr w:rsidR="00AD2139" w:rsidRPr="00AD2139" w:rsidTr="0064110B">
        <w:tc>
          <w:tcPr>
            <w:tcW w:w="568" w:type="dxa"/>
            <w:vAlign w:val="center"/>
          </w:tcPr>
          <w:p w:rsidR="003864A4" w:rsidRPr="00AD2139" w:rsidRDefault="003864A4" w:rsidP="00A6535C">
            <w:pPr>
              <w:jc w:val="center"/>
              <w:rPr>
                <w:rFonts w:ascii="Arial" w:hAnsi="Arial" w:cs="Arial"/>
                <w:sz w:val="18"/>
                <w:szCs w:val="18"/>
              </w:rPr>
            </w:pPr>
            <w:r w:rsidRPr="00AD2139">
              <w:rPr>
                <w:rFonts w:ascii="Arial" w:hAnsi="Arial" w:cs="Arial"/>
                <w:sz w:val="18"/>
                <w:szCs w:val="18"/>
              </w:rPr>
              <w:t>1</w:t>
            </w:r>
          </w:p>
        </w:tc>
        <w:tc>
          <w:tcPr>
            <w:tcW w:w="2375" w:type="dxa"/>
            <w:vAlign w:val="center"/>
          </w:tcPr>
          <w:p w:rsidR="003864A4" w:rsidRPr="00AD2139" w:rsidRDefault="003864A4" w:rsidP="00A6535C">
            <w:pPr>
              <w:jc w:val="center"/>
              <w:rPr>
                <w:rFonts w:ascii="Arial" w:hAnsi="Arial" w:cs="Arial"/>
                <w:sz w:val="18"/>
                <w:szCs w:val="18"/>
              </w:rPr>
            </w:pPr>
            <w:r w:rsidRPr="00AD2139">
              <w:rPr>
                <w:rFonts w:ascii="Arial" w:hAnsi="Arial" w:cs="Arial"/>
                <w:sz w:val="18"/>
                <w:szCs w:val="18"/>
              </w:rPr>
              <w:t>RM.D5</w:t>
            </w:r>
          </w:p>
        </w:tc>
        <w:tc>
          <w:tcPr>
            <w:tcW w:w="1596" w:type="dxa"/>
            <w:vAlign w:val="center"/>
          </w:tcPr>
          <w:p w:rsidR="003864A4" w:rsidRPr="00AD2139" w:rsidRDefault="00FC44A7" w:rsidP="00A6535C">
            <w:pPr>
              <w:jc w:val="center"/>
              <w:rPr>
                <w:rFonts w:ascii="Arial" w:hAnsi="Arial" w:cs="Arial"/>
                <w:sz w:val="18"/>
                <w:szCs w:val="18"/>
              </w:rPr>
            </w:pPr>
            <w:r w:rsidRPr="00AD2139">
              <w:rPr>
                <w:rFonts w:ascii="Arial" w:hAnsi="Arial" w:cs="Arial"/>
                <w:sz w:val="18"/>
                <w:szCs w:val="18"/>
              </w:rPr>
              <w:t>6,8</w:t>
            </w:r>
          </w:p>
        </w:tc>
        <w:tc>
          <w:tcPr>
            <w:tcW w:w="1596" w:type="dxa"/>
            <w:vAlign w:val="center"/>
          </w:tcPr>
          <w:p w:rsidR="003864A4" w:rsidRPr="00AD2139" w:rsidRDefault="00FC44A7" w:rsidP="00A6535C">
            <w:pPr>
              <w:jc w:val="center"/>
              <w:rPr>
                <w:rFonts w:ascii="Arial" w:hAnsi="Arial" w:cs="Arial"/>
                <w:sz w:val="18"/>
                <w:szCs w:val="18"/>
              </w:rPr>
            </w:pPr>
            <w:r w:rsidRPr="00AD2139">
              <w:rPr>
                <w:rFonts w:ascii="Arial" w:hAnsi="Arial" w:cs="Arial"/>
                <w:sz w:val="18"/>
                <w:szCs w:val="18"/>
              </w:rPr>
              <w:t>16,8</w:t>
            </w:r>
          </w:p>
        </w:tc>
        <w:tc>
          <w:tcPr>
            <w:tcW w:w="1596" w:type="dxa"/>
            <w:vAlign w:val="center"/>
          </w:tcPr>
          <w:p w:rsidR="003864A4" w:rsidRPr="00AD2139" w:rsidRDefault="00FC44A7" w:rsidP="00A6535C">
            <w:pPr>
              <w:jc w:val="center"/>
              <w:rPr>
                <w:rFonts w:ascii="Arial" w:hAnsi="Arial" w:cs="Arial"/>
                <w:sz w:val="18"/>
                <w:szCs w:val="18"/>
              </w:rPr>
            </w:pPr>
            <w:r w:rsidRPr="00AD2139">
              <w:rPr>
                <w:rFonts w:ascii="Arial" w:hAnsi="Arial" w:cs="Arial"/>
                <w:sz w:val="18"/>
                <w:szCs w:val="18"/>
              </w:rPr>
              <w:t>0,85</w:t>
            </w:r>
          </w:p>
        </w:tc>
        <w:tc>
          <w:tcPr>
            <w:tcW w:w="1596" w:type="dxa"/>
            <w:vAlign w:val="center"/>
          </w:tcPr>
          <w:p w:rsidR="003864A4" w:rsidRPr="00AD2139" w:rsidRDefault="00A34177" w:rsidP="00A6535C">
            <w:pPr>
              <w:jc w:val="center"/>
              <w:rPr>
                <w:rFonts w:ascii="Arial" w:hAnsi="Arial" w:cs="Arial"/>
                <w:sz w:val="18"/>
                <w:szCs w:val="18"/>
              </w:rPr>
            </w:pPr>
            <w:r w:rsidRPr="00AD2139">
              <w:rPr>
                <w:rFonts w:ascii="Arial" w:hAnsi="Arial" w:cs="Arial"/>
                <w:sz w:val="18"/>
                <w:szCs w:val="18"/>
              </w:rPr>
              <w:t>9,4</w:t>
            </w:r>
          </w:p>
        </w:tc>
      </w:tr>
      <w:tr w:rsidR="00AD2139" w:rsidRPr="00AD2139" w:rsidTr="0064110B">
        <w:tc>
          <w:tcPr>
            <w:tcW w:w="568" w:type="dxa"/>
            <w:vAlign w:val="center"/>
          </w:tcPr>
          <w:p w:rsidR="003864A4" w:rsidRPr="00AD2139" w:rsidRDefault="003864A4" w:rsidP="00A6535C">
            <w:pPr>
              <w:jc w:val="center"/>
              <w:rPr>
                <w:rFonts w:ascii="Arial" w:hAnsi="Arial" w:cs="Arial"/>
                <w:sz w:val="18"/>
                <w:szCs w:val="18"/>
              </w:rPr>
            </w:pPr>
            <w:r w:rsidRPr="00AD2139">
              <w:rPr>
                <w:rFonts w:ascii="Arial" w:hAnsi="Arial" w:cs="Arial"/>
                <w:sz w:val="18"/>
                <w:szCs w:val="18"/>
              </w:rPr>
              <w:t>2</w:t>
            </w:r>
          </w:p>
        </w:tc>
        <w:tc>
          <w:tcPr>
            <w:tcW w:w="2375" w:type="dxa"/>
            <w:vAlign w:val="center"/>
          </w:tcPr>
          <w:p w:rsidR="003864A4" w:rsidRPr="00AD2139" w:rsidRDefault="003864A4" w:rsidP="00A6535C">
            <w:pPr>
              <w:jc w:val="center"/>
              <w:rPr>
                <w:rFonts w:ascii="Arial" w:hAnsi="Arial" w:cs="Arial"/>
                <w:sz w:val="18"/>
                <w:szCs w:val="18"/>
              </w:rPr>
            </w:pPr>
            <w:r w:rsidRPr="00AD2139">
              <w:rPr>
                <w:rFonts w:ascii="Arial" w:hAnsi="Arial" w:cs="Arial"/>
                <w:sz w:val="18"/>
                <w:szCs w:val="18"/>
              </w:rPr>
              <w:t>RM.D10</w:t>
            </w:r>
          </w:p>
        </w:tc>
        <w:tc>
          <w:tcPr>
            <w:tcW w:w="1596" w:type="dxa"/>
            <w:vAlign w:val="center"/>
          </w:tcPr>
          <w:p w:rsidR="003864A4" w:rsidRPr="00AD2139" w:rsidRDefault="00FC44A7" w:rsidP="00A6535C">
            <w:pPr>
              <w:jc w:val="center"/>
              <w:rPr>
                <w:rFonts w:ascii="Arial" w:hAnsi="Arial" w:cs="Arial"/>
                <w:sz w:val="18"/>
                <w:szCs w:val="18"/>
              </w:rPr>
            </w:pPr>
            <w:r w:rsidRPr="00AD2139">
              <w:rPr>
                <w:rFonts w:ascii="Arial" w:hAnsi="Arial" w:cs="Arial"/>
                <w:sz w:val="18"/>
                <w:szCs w:val="18"/>
              </w:rPr>
              <w:t>11,2</w:t>
            </w:r>
          </w:p>
        </w:tc>
        <w:tc>
          <w:tcPr>
            <w:tcW w:w="1596" w:type="dxa"/>
            <w:vAlign w:val="center"/>
          </w:tcPr>
          <w:p w:rsidR="003864A4" w:rsidRPr="00AD2139" w:rsidRDefault="00FC44A7" w:rsidP="00A6535C">
            <w:pPr>
              <w:jc w:val="center"/>
              <w:rPr>
                <w:rFonts w:ascii="Arial" w:hAnsi="Arial" w:cs="Arial"/>
                <w:sz w:val="18"/>
                <w:szCs w:val="18"/>
              </w:rPr>
            </w:pPr>
            <w:r w:rsidRPr="00AD2139">
              <w:rPr>
                <w:rFonts w:ascii="Arial" w:hAnsi="Arial" w:cs="Arial"/>
                <w:sz w:val="18"/>
                <w:szCs w:val="18"/>
              </w:rPr>
              <w:t>17,9</w:t>
            </w:r>
          </w:p>
        </w:tc>
        <w:tc>
          <w:tcPr>
            <w:tcW w:w="1596" w:type="dxa"/>
            <w:vAlign w:val="center"/>
          </w:tcPr>
          <w:p w:rsidR="003864A4" w:rsidRPr="00AD2139" w:rsidRDefault="00FC44A7" w:rsidP="00A6535C">
            <w:pPr>
              <w:jc w:val="center"/>
              <w:rPr>
                <w:rFonts w:ascii="Arial" w:hAnsi="Arial" w:cs="Arial"/>
                <w:sz w:val="18"/>
                <w:szCs w:val="18"/>
              </w:rPr>
            </w:pPr>
            <w:r w:rsidRPr="00AD2139">
              <w:rPr>
                <w:rFonts w:ascii="Arial" w:hAnsi="Arial" w:cs="Arial"/>
                <w:sz w:val="18"/>
                <w:szCs w:val="18"/>
              </w:rPr>
              <w:t>0,88</w:t>
            </w:r>
          </w:p>
        </w:tc>
        <w:tc>
          <w:tcPr>
            <w:tcW w:w="1596" w:type="dxa"/>
            <w:vAlign w:val="center"/>
          </w:tcPr>
          <w:p w:rsidR="003864A4" w:rsidRPr="00AD2139" w:rsidRDefault="00A34177" w:rsidP="00A6535C">
            <w:pPr>
              <w:jc w:val="center"/>
              <w:rPr>
                <w:rFonts w:ascii="Arial" w:hAnsi="Arial" w:cs="Arial"/>
                <w:sz w:val="18"/>
                <w:szCs w:val="18"/>
              </w:rPr>
            </w:pPr>
            <w:r w:rsidRPr="00AD2139">
              <w:rPr>
                <w:rFonts w:ascii="Arial" w:hAnsi="Arial" w:cs="Arial"/>
                <w:sz w:val="18"/>
                <w:szCs w:val="18"/>
              </w:rPr>
              <w:t>9,5</w:t>
            </w:r>
          </w:p>
        </w:tc>
      </w:tr>
      <w:tr w:rsidR="00AD2139" w:rsidRPr="00AD2139" w:rsidTr="0064110B">
        <w:tc>
          <w:tcPr>
            <w:tcW w:w="568" w:type="dxa"/>
            <w:vAlign w:val="center"/>
          </w:tcPr>
          <w:p w:rsidR="003864A4" w:rsidRPr="00AD2139" w:rsidRDefault="003864A4" w:rsidP="00A6535C">
            <w:pPr>
              <w:jc w:val="center"/>
              <w:rPr>
                <w:rFonts w:ascii="Arial" w:hAnsi="Arial" w:cs="Arial"/>
                <w:sz w:val="18"/>
                <w:szCs w:val="18"/>
              </w:rPr>
            </w:pPr>
            <w:r w:rsidRPr="00AD2139">
              <w:rPr>
                <w:rFonts w:ascii="Arial" w:hAnsi="Arial" w:cs="Arial"/>
                <w:sz w:val="18"/>
                <w:szCs w:val="18"/>
              </w:rPr>
              <w:t>3</w:t>
            </w:r>
          </w:p>
        </w:tc>
        <w:tc>
          <w:tcPr>
            <w:tcW w:w="2375" w:type="dxa"/>
            <w:vAlign w:val="center"/>
          </w:tcPr>
          <w:p w:rsidR="003864A4" w:rsidRPr="00AD2139" w:rsidRDefault="003864A4" w:rsidP="00A6535C">
            <w:pPr>
              <w:jc w:val="center"/>
              <w:rPr>
                <w:rFonts w:ascii="Arial" w:hAnsi="Arial" w:cs="Arial"/>
                <w:sz w:val="18"/>
                <w:szCs w:val="18"/>
              </w:rPr>
            </w:pPr>
            <w:r w:rsidRPr="00AD2139">
              <w:rPr>
                <w:rFonts w:ascii="Arial" w:hAnsi="Arial" w:cs="Arial"/>
                <w:sz w:val="18"/>
                <w:szCs w:val="18"/>
              </w:rPr>
              <w:t>RM.N5</w:t>
            </w:r>
          </w:p>
        </w:tc>
        <w:tc>
          <w:tcPr>
            <w:tcW w:w="1596" w:type="dxa"/>
            <w:vAlign w:val="center"/>
          </w:tcPr>
          <w:p w:rsidR="003864A4" w:rsidRPr="00AD2139" w:rsidRDefault="00FC44A7" w:rsidP="00A6535C">
            <w:pPr>
              <w:jc w:val="center"/>
              <w:rPr>
                <w:rFonts w:ascii="Arial" w:hAnsi="Arial" w:cs="Arial"/>
                <w:sz w:val="18"/>
                <w:szCs w:val="18"/>
              </w:rPr>
            </w:pPr>
            <w:r w:rsidRPr="00AD2139">
              <w:rPr>
                <w:rFonts w:ascii="Arial" w:hAnsi="Arial" w:cs="Arial"/>
                <w:sz w:val="18"/>
                <w:szCs w:val="18"/>
              </w:rPr>
              <w:t>7,3</w:t>
            </w:r>
          </w:p>
        </w:tc>
        <w:tc>
          <w:tcPr>
            <w:tcW w:w="1596" w:type="dxa"/>
            <w:vAlign w:val="center"/>
          </w:tcPr>
          <w:p w:rsidR="003864A4" w:rsidRPr="00AD2139" w:rsidRDefault="00FC44A7" w:rsidP="00A6535C">
            <w:pPr>
              <w:jc w:val="center"/>
              <w:rPr>
                <w:rFonts w:ascii="Arial" w:hAnsi="Arial" w:cs="Arial"/>
                <w:sz w:val="18"/>
                <w:szCs w:val="18"/>
              </w:rPr>
            </w:pPr>
            <w:r w:rsidRPr="00AD2139">
              <w:rPr>
                <w:rFonts w:ascii="Arial" w:hAnsi="Arial" w:cs="Arial"/>
                <w:sz w:val="18"/>
                <w:szCs w:val="18"/>
              </w:rPr>
              <w:t>16,4</w:t>
            </w:r>
          </w:p>
        </w:tc>
        <w:tc>
          <w:tcPr>
            <w:tcW w:w="1596" w:type="dxa"/>
            <w:vAlign w:val="center"/>
          </w:tcPr>
          <w:p w:rsidR="003864A4" w:rsidRPr="00AD2139" w:rsidRDefault="00FC44A7" w:rsidP="00A6535C">
            <w:pPr>
              <w:jc w:val="center"/>
              <w:rPr>
                <w:rFonts w:ascii="Arial" w:hAnsi="Arial" w:cs="Arial"/>
                <w:sz w:val="18"/>
                <w:szCs w:val="18"/>
              </w:rPr>
            </w:pPr>
            <w:r w:rsidRPr="00AD2139">
              <w:rPr>
                <w:rFonts w:ascii="Arial" w:hAnsi="Arial" w:cs="Arial"/>
                <w:sz w:val="18"/>
                <w:szCs w:val="18"/>
              </w:rPr>
              <w:t>0,82</w:t>
            </w:r>
          </w:p>
        </w:tc>
        <w:tc>
          <w:tcPr>
            <w:tcW w:w="1596" w:type="dxa"/>
            <w:vAlign w:val="center"/>
          </w:tcPr>
          <w:p w:rsidR="003864A4" w:rsidRPr="00AD2139" w:rsidRDefault="00A34177" w:rsidP="00A6535C">
            <w:pPr>
              <w:jc w:val="center"/>
              <w:rPr>
                <w:rFonts w:ascii="Arial" w:hAnsi="Arial" w:cs="Arial"/>
                <w:sz w:val="18"/>
                <w:szCs w:val="18"/>
              </w:rPr>
            </w:pPr>
            <w:r w:rsidRPr="00AD2139">
              <w:rPr>
                <w:rFonts w:ascii="Arial" w:hAnsi="Arial" w:cs="Arial"/>
                <w:sz w:val="18"/>
                <w:szCs w:val="18"/>
              </w:rPr>
              <w:t>9,2</w:t>
            </w:r>
          </w:p>
        </w:tc>
      </w:tr>
      <w:tr w:rsidR="00AD2139" w:rsidRPr="00AD2139" w:rsidTr="0064110B">
        <w:tc>
          <w:tcPr>
            <w:tcW w:w="568" w:type="dxa"/>
            <w:vAlign w:val="center"/>
          </w:tcPr>
          <w:p w:rsidR="003864A4" w:rsidRPr="00AD2139" w:rsidRDefault="003864A4" w:rsidP="00A6535C">
            <w:pPr>
              <w:jc w:val="center"/>
              <w:rPr>
                <w:rFonts w:ascii="Arial" w:hAnsi="Arial" w:cs="Arial"/>
                <w:sz w:val="18"/>
                <w:szCs w:val="18"/>
              </w:rPr>
            </w:pPr>
            <w:r w:rsidRPr="00AD2139">
              <w:rPr>
                <w:rFonts w:ascii="Arial" w:hAnsi="Arial" w:cs="Arial"/>
                <w:sz w:val="18"/>
                <w:szCs w:val="18"/>
              </w:rPr>
              <w:t>4</w:t>
            </w:r>
          </w:p>
        </w:tc>
        <w:tc>
          <w:tcPr>
            <w:tcW w:w="2375" w:type="dxa"/>
            <w:vAlign w:val="center"/>
          </w:tcPr>
          <w:p w:rsidR="003864A4" w:rsidRPr="00AD2139" w:rsidRDefault="003864A4" w:rsidP="00A6535C">
            <w:pPr>
              <w:jc w:val="center"/>
              <w:rPr>
                <w:rFonts w:ascii="Arial" w:hAnsi="Arial" w:cs="Arial"/>
                <w:sz w:val="18"/>
                <w:szCs w:val="18"/>
              </w:rPr>
            </w:pPr>
            <w:r w:rsidRPr="00AD2139">
              <w:rPr>
                <w:rFonts w:ascii="Arial" w:hAnsi="Arial" w:cs="Arial"/>
                <w:sz w:val="18"/>
                <w:szCs w:val="18"/>
              </w:rPr>
              <w:t>RM.N10</w:t>
            </w:r>
          </w:p>
        </w:tc>
        <w:tc>
          <w:tcPr>
            <w:tcW w:w="1596" w:type="dxa"/>
            <w:vAlign w:val="center"/>
          </w:tcPr>
          <w:p w:rsidR="003864A4" w:rsidRPr="00AD2139" w:rsidRDefault="00414C84" w:rsidP="00A6535C">
            <w:pPr>
              <w:jc w:val="center"/>
              <w:rPr>
                <w:rFonts w:ascii="Arial" w:hAnsi="Arial" w:cs="Arial"/>
                <w:sz w:val="18"/>
                <w:szCs w:val="18"/>
              </w:rPr>
            </w:pPr>
            <w:r w:rsidRPr="00AD2139">
              <w:rPr>
                <w:rFonts w:ascii="Arial" w:hAnsi="Arial" w:cs="Arial"/>
                <w:sz w:val="18"/>
                <w:szCs w:val="18"/>
              </w:rPr>
              <w:t>12,5</w:t>
            </w:r>
          </w:p>
        </w:tc>
        <w:tc>
          <w:tcPr>
            <w:tcW w:w="1596" w:type="dxa"/>
            <w:vAlign w:val="center"/>
          </w:tcPr>
          <w:p w:rsidR="003864A4" w:rsidRPr="00AD2139" w:rsidRDefault="00414C84" w:rsidP="00A6535C">
            <w:pPr>
              <w:jc w:val="center"/>
              <w:rPr>
                <w:rFonts w:ascii="Arial" w:hAnsi="Arial" w:cs="Arial"/>
                <w:sz w:val="18"/>
                <w:szCs w:val="18"/>
              </w:rPr>
            </w:pPr>
            <w:r w:rsidRPr="00AD2139">
              <w:rPr>
                <w:rFonts w:ascii="Arial" w:hAnsi="Arial" w:cs="Arial"/>
                <w:sz w:val="18"/>
                <w:szCs w:val="18"/>
              </w:rPr>
              <w:t>15,8</w:t>
            </w:r>
          </w:p>
        </w:tc>
        <w:tc>
          <w:tcPr>
            <w:tcW w:w="1596" w:type="dxa"/>
            <w:vAlign w:val="center"/>
          </w:tcPr>
          <w:p w:rsidR="003864A4" w:rsidRPr="00AD2139" w:rsidRDefault="00414C84" w:rsidP="00A6535C">
            <w:pPr>
              <w:jc w:val="center"/>
              <w:rPr>
                <w:rFonts w:ascii="Arial" w:hAnsi="Arial" w:cs="Arial"/>
                <w:sz w:val="18"/>
                <w:szCs w:val="18"/>
              </w:rPr>
            </w:pPr>
            <w:r w:rsidRPr="00AD2139">
              <w:rPr>
                <w:rFonts w:ascii="Arial" w:hAnsi="Arial" w:cs="Arial"/>
                <w:sz w:val="18"/>
                <w:szCs w:val="18"/>
              </w:rPr>
              <w:t>0,8</w:t>
            </w:r>
            <w:r w:rsidR="00FC44A7" w:rsidRPr="00AD2139">
              <w:rPr>
                <w:rFonts w:ascii="Arial" w:hAnsi="Arial" w:cs="Arial"/>
                <w:sz w:val="18"/>
                <w:szCs w:val="18"/>
              </w:rPr>
              <w:t>4</w:t>
            </w:r>
          </w:p>
        </w:tc>
        <w:tc>
          <w:tcPr>
            <w:tcW w:w="1596" w:type="dxa"/>
            <w:vAlign w:val="center"/>
          </w:tcPr>
          <w:p w:rsidR="003864A4" w:rsidRPr="00AD2139" w:rsidRDefault="00414C84" w:rsidP="00A6535C">
            <w:pPr>
              <w:jc w:val="center"/>
              <w:rPr>
                <w:rFonts w:ascii="Arial" w:hAnsi="Arial" w:cs="Arial"/>
                <w:sz w:val="18"/>
                <w:szCs w:val="18"/>
              </w:rPr>
            </w:pPr>
            <w:r w:rsidRPr="00AD2139">
              <w:rPr>
                <w:rFonts w:ascii="Arial" w:hAnsi="Arial" w:cs="Arial"/>
                <w:sz w:val="18"/>
                <w:szCs w:val="18"/>
              </w:rPr>
              <w:t>9,3</w:t>
            </w:r>
          </w:p>
        </w:tc>
      </w:tr>
    </w:tbl>
    <w:p w:rsidR="00432B4B" w:rsidRPr="00AD2139" w:rsidRDefault="000D347D" w:rsidP="00A6535C">
      <w:pPr>
        <w:spacing w:before="0" w:line="240" w:lineRule="auto"/>
        <w:jc w:val="both"/>
        <w:rPr>
          <w:rFonts w:ascii="Arial" w:hAnsi="Arial" w:cs="Arial"/>
          <w:sz w:val="20"/>
          <w:szCs w:val="20"/>
        </w:rPr>
        <w:sectPr w:rsidR="00432B4B" w:rsidRPr="00AD2139" w:rsidSect="00B577B2">
          <w:type w:val="continuous"/>
          <w:pgSz w:w="11907" w:h="16840" w:code="9"/>
          <w:pgMar w:top="1134" w:right="851" w:bottom="1134" w:left="1418" w:header="720" w:footer="720" w:gutter="0"/>
          <w:cols w:space="708"/>
          <w:docGrid w:linePitch="360"/>
        </w:sectPr>
      </w:pPr>
      <w:r w:rsidRPr="00AD2139">
        <w:rPr>
          <w:rFonts w:ascii="Arial" w:hAnsi="Arial" w:cs="Arial"/>
          <w:sz w:val="20"/>
          <w:szCs w:val="20"/>
        </w:rPr>
        <w:tab/>
      </w:r>
    </w:p>
    <w:p w:rsidR="004D032D" w:rsidRPr="00AD2139" w:rsidRDefault="000D347D" w:rsidP="0064110B">
      <w:pPr>
        <w:spacing w:before="0" w:after="120" w:line="300" w:lineRule="exact"/>
        <w:ind w:firstLine="340"/>
        <w:jc w:val="both"/>
        <w:rPr>
          <w:rFonts w:ascii="Arial" w:hAnsi="Arial" w:cs="Arial"/>
          <w:sz w:val="20"/>
          <w:szCs w:val="20"/>
        </w:rPr>
      </w:pPr>
      <w:r w:rsidRPr="00AD2139">
        <w:rPr>
          <w:rFonts w:ascii="Arial" w:hAnsi="Arial" w:cs="Arial"/>
          <w:sz w:val="20"/>
          <w:szCs w:val="20"/>
        </w:rPr>
        <w:lastRenderedPageBreak/>
        <w:t>Các chỉ tiêu kỹ thuậ</w:t>
      </w:r>
      <w:r w:rsidR="000A78E7" w:rsidRPr="00AD2139">
        <w:rPr>
          <w:rFonts w:ascii="Arial" w:hAnsi="Arial" w:cs="Arial"/>
          <w:sz w:val="20"/>
          <w:szCs w:val="20"/>
        </w:rPr>
        <w:t>t tro</w:t>
      </w:r>
      <w:r w:rsidRPr="00AD2139">
        <w:rPr>
          <w:rFonts w:ascii="Arial" w:hAnsi="Arial" w:cs="Arial"/>
          <w:sz w:val="20"/>
          <w:szCs w:val="20"/>
        </w:rPr>
        <w:t>n</w:t>
      </w:r>
      <w:r w:rsidR="000A78E7" w:rsidRPr="00AD2139">
        <w:rPr>
          <w:rFonts w:ascii="Arial" w:hAnsi="Arial" w:cs="Arial"/>
          <w:sz w:val="20"/>
          <w:szCs w:val="20"/>
        </w:rPr>
        <w:t>g</w:t>
      </w:r>
      <w:r w:rsidR="0064110B" w:rsidRPr="00AD2139">
        <w:rPr>
          <w:rFonts w:ascii="Arial" w:hAnsi="Arial" w:cs="Arial"/>
          <w:sz w:val="20"/>
          <w:szCs w:val="20"/>
        </w:rPr>
        <w:t xml:space="preserve"> b</w:t>
      </w:r>
      <w:r w:rsidRPr="00AD2139">
        <w:rPr>
          <w:rFonts w:ascii="Arial" w:hAnsi="Arial" w:cs="Arial"/>
          <w:sz w:val="20"/>
          <w:szCs w:val="20"/>
        </w:rPr>
        <w:t xml:space="preserve">ảng 1 cho thấy, gạch không nung </w:t>
      </w:r>
      <w:r w:rsidR="00DF46A9" w:rsidRPr="00AD2139">
        <w:rPr>
          <w:rFonts w:ascii="Arial" w:hAnsi="Arial" w:cs="Arial"/>
          <w:sz w:val="20"/>
          <w:szCs w:val="20"/>
        </w:rPr>
        <w:t xml:space="preserve">geopolymer </w:t>
      </w:r>
      <w:r w:rsidRPr="00AD2139">
        <w:rPr>
          <w:rFonts w:ascii="Arial" w:hAnsi="Arial" w:cs="Arial"/>
          <w:sz w:val="20"/>
          <w:szCs w:val="20"/>
        </w:rPr>
        <w:t>sử dụng bùn đỏ đáp ứng</w:t>
      </w:r>
      <w:r w:rsidR="004C6E56" w:rsidRPr="00AD2139">
        <w:rPr>
          <w:rFonts w:ascii="Arial" w:hAnsi="Arial" w:cs="Arial"/>
          <w:sz w:val="20"/>
          <w:szCs w:val="20"/>
        </w:rPr>
        <w:t xml:space="preserve"> các yêu cầu đặt ra. Để làm rõ hơn tương tác của gạch không nun</w:t>
      </w:r>
      <w:r w:rsidR="006C528B" w:rsidRPr="00AD2139">
        <w:rPr>
          <w:rFonts w:ascii="Arial" w:hAnsi="Arial" w:cs="Arial"/>
          <w:sz w:val="20"/>
          <w:szCs w:val="20"/>
        </w:rPr>
        <w:t>g</w:t>
      </w:r>
      <w:r w:rsidR="004C6E56" w:rsidRPr="00AD2139">
        <w:rPr>
          <w:rFonts w:ascii="Arial" w:hAnsi="Arial" w:cs="Arial"/>
          <w:sz w:val="20"/>
          <w:szCs w:val="20"/>
        </w:rPr>
        <w:t xml:space="preserve"> với các vật liệ</w:t>
      </w:r>
      <w:r w:rsidR="006C528B" w:rsidRPr="00AD2139">
        <w:rPr>
          <w:rFonts w:ascii="Arial" w:hAnsi="Arial" w:cs="Arial"/>
          <w:sz w:val="20"/>
          <w:szCs w:val="20"/>
        </w:rPr>
        <w:t>u liê</w:t>
      </w:r>
      <w:r w:rsidR="004C6E56" w:rsidRPr="00AD2139">
        <w:rPr>
          <w:rFonts w:ascii="Arial" w:hAnsi="Arial" w:cs="Arial"/>
          <w:sz w:val="20"/>
          <w:szCs w:val="20"/>
        </w:rPr>
        <w:t>n quan trong khối xây, đã tiến hành các thí nghiệm bổ sung về</w:t>
      </w:r>
      <w:r w:rsidR="004D032D" w:rsidRPr="00AD2139">
        <w:rPr>
          <w:rFonts w:ascii="Arial" w:hAnsi="Arial" w:cs="Arial"/>
          <w:sz w:val="20"/>
          <w:szCs w:val="20"/>
        </w:rPr>
        <w:t xml:space="preserve"> phát triển cường độ, </w:t>
      </w:r>
      <w:r w:rsidR="004C6E56" w:rsidRPr="00AD2139">
        <w:rPr>
          <w:rFonts w:ascii="Arial" w:hAnsi="Arial" w:cs="Arial"/>
          <w:sz w:val="20"/>
          <w:szCs w:val="20"/>
        </w:rPr>
        <w:t>khả năng</w:t>
      </w:r>
      <w:r w:rsidR="000A78E7" w:rsidRPr="00AD2139">
        <w:rPr>
          <w:rFonts w:ascii="Arial" w:hAnsi="Arial" w:cs="Arial"/>
          <w:sz w:val="20"/>
          <w:szCs w:val="20"/>
        </w:rPr>
        <w:t xml:space="preserve"> tiết kiềm, khả năng</w:t>
      </w:r>
      <w:r w:rsidR="004C6E56" w:rsidRPr="00AD2139">
        <w:rPr>
          <w:rFonts w:ascii="Arial" w:hAnsi="Arial" w:cs="Arial"/>
          <w:sz w:val="20"/>
          <w:szCs w:val="20"/>
        </w:rPr>
        <w:t xml:space="preserve"> bám dính của gạch với vữa và cường độ của khối xây gạch không nung.</w:t>
      </w:r>
    </w:p>
    <w:p w:rsidR="000D347D" w:rsidRPr="00AD2139" w:rsidRDefault="004D032D" w:rsidP="00432B4B">
      <w:pPr>
        <w:spacing w:before="0" w:after="120" w:line="300" w:lineRule="exact"/>
        <w:jc w:val="both"/>
        <w:rPr>
          <w:rFonts w:ascii="Arial" w:hAnsi="Arial" w:cs="Arial"/>
          <w:sz w:val="20"/>
          <w:szCs w:val="20"/>
        </w:rPr>
      </w:pPr>
      <w:r w:rsidRPr="00AD2139">
        <w:rPr>
          <w:rFonts w:ascii="Arial" w:hAnsi="Arial" w:cs="Arial"/>
          <w:sz w:val="20"/>
          <w:szCs w:val="20"/>
        </w:rPr>
        <w:tab/>
      </w:r>
      <w:r w:rsidR="006F680B" w:rsidRPr="00AD2139">
        <w:rPr>
          <w:rFonts w:ascii="Arial" w:hAnsi="Arial" w:cs="Arial"/>
          <w:sz w:val="20"/>
          <w:szCs w:val="20"/>
        </w:rPr>
        <w:t xml:space="preserve">Khác với gạch bê tông xi măng, cường độ gạch không nung </w:t>
      </w:r>
      <w:r w:rsidR="00DF46A9" w:rsidRPr="00AD2139">
        <w:rPr>
          <w:rFonts w:ascii="Arial" w:hAnsi="Arial" w:cs="Arial"/>
          <w:sz w:val="20"/>
          <w:szCs w:val="20"/>
        </w:rPr>
        <w:t xml:space="preserve">geopolymer </w:t>
      </w:r>
      <w:r w:rsidR="006F680B" w:rsidRPr="00AD2139">
        <w:rPr>
          <w:rFonts w:ascii="Arial" w:hAnsi="Arial" w:cs="Arial"/>
          <w:sz w:val="20"/>
          <w:szCs w:val="20"/>
        </w:rPr>
        <w:t>trong nghiên cứu sau khi sản xuất thay đổi không đáng kể</w:t>
      </w:r>
      <w:r w:rsidR="00EB4BCF" w:rsidRPr="00AD2139">
        <w:rPr>
          <w:rFonts w:ascii="Arial" w:hAnsi="Arial" w:cs="Arial"/>
          <w:sz w:val="20"/>
          <w:szCs w:val="20"/>
        </w:rPr>
        <w:t xml:space="preserve">, </w:t>
      </w:r>
      <w:r w:rsidR="00DF46A9" w:rsidRPr="00AD2139">
        <w:rPr>
          <w:rFonts w:ascii="Arial" w:hAnsi="Arial" w:cs="Arial"/>
          <w:sz w:val="20"/>
          <w:szCs w:val="20"/>
        </w:rPr>
        <w:t xml:space="preserve">và nằm </w:t>
      </w:r>
      <w:r w:rsidR="00EB4BCF" w:rsidRPr="00AD2139">
        <w:rPr>
          <w:rFonts w:ascii="Arial" w:hAnsi="Arial" w:cs="Arial"/>
          <w:sz w:val="20"/>
          <w:szCs w:val="20"/>
        </w:rPr>
        <w:t>trong khoảng ±5%</w:t>
      </w:r>
      <w:r w:rsidR="006F680B" w:rsidRPr="00AD2139">
        <w:rPr>
          <w:rFonts w:ascii="Arial" w:hAnsi="Arial" w:cs="Arial"/>
          <w:sz w:val="20"/>
          <w:szCs w:val="20"/>
        </w:rPr>
        <w:t xml:space="preserve">. Điều này là do các phản ứng tạo liên kết giúp hình thành cấu trúc và cường độ diễn ra chủ yếu ở điều kiện gia công </w:t>
      </w:r>
      <w:r w:rsidR="00EB4BCF" w:rsidRPr="00AD2139">
        <w:rPr>
          <w:rFonts w:ascii="Arial" w:hAnsi="Arial" w:cs="Arial"/>
          <w:sz w:val="20"/>
          <w:szCs w:val="20"/>
        </w:rPr>
        <w:t>autoclave. Ở</w:t>
      </w:r>
      <w:r w:rsidR="006F680B" w:rsidRPr="00AD2139">
        <w:rPr>
          <w:rFonts w:ascii="Arial" w:hAnsi="Arial" w:cs="Arial"/>
          <w:sz w:val="20"/>
          <w:szCs w:val="20"/>
        </w:rPr>
        <w:t xml:space="preserve"> điều kiện vận hành bình thường, cường độ gạch ổn định </w:t>
      </w:r>
      <w:proofErr w:type="gramStart"/>
      <w:r w:rsidR="006F680B" w:rsidRPr="00AD2139">
        <w:rPr>
          <w:rFonts w:ascii="Arial" w:hAnsi="Arial" w:cs="Arial"/>
          <w:sz w:val="20"/>
          <w:szCs w:val="20"/>
        </w:rPr>
        <w:t>theo</w:t>
      </w:r>
      <w:proofErr w:type="gramEnd"/>
      <w:r w:rsidR="006F680B" w:rsidRPr="00AD2139">
        <w:rPr>
          <w:rFonts w:ascii="Arial" w:hAnsi="Arial" w:cs="Arial"/>
          <w:sz w:val="20"/>
          <w:szCs w:val="20"/>
        </w:rPr>
        <w:t xml:space="preserve"> thời gian. </w:t>
      </w:r>
    </w:p>
    <w:p w:rsidR="00DB62CC" w:rsidRPr="00AD2139" w:rsidRDefault="000A78E7" w:rsidP="00432B4B">
      <w:pPr>
        <w:spacing w:before="0" w:after="120" w:line="300" w:lineRule="exact"/>
        <w:jc w:val="both"/>
        <w:rPr>
          <w:rFonts w:ascii="Arial" w:hAnsi="Arial" w:cs="Arial"/>
          <w:sz w:val="20"/>
          <w:szCs w:val="20"/>
        </w:rPr>
      </w:pPr>
      <w:r w:rsidRPr="00AD2139">
        <w:rPr>
          <w:rFonts w:ascii="Arial" w:hAnsi="Arial" w:cs="Arial"/>
          <w:sz w:val="20"/>
          <w:szCs w:val="20"/>
        </w:rPr>
        <w:tab/>
      </w:r>
      <w:r w:rsidR="006F680B" w:rsidRPr="00AD2139">
        <w:rPr>
          <w:rFonts w:ascii="Arial" w:hAnsi="Arial" w:cs="Arial"/>
          <w:sz w:val="20"/>
          <w:szCs w:val="20"/>
        </w:rPr>
        <w:t>Do bản chất của vật liệu là được kích hoạt bằng kiềm nên t</w:t>
      </w:r>
      <w:r w:rsidRPr="00AD2139">
        <w:rPr>
          <w:rFonts w:ascii="Arial" w:hAnsi="Arial" w:cs="Arial"/>
          <w:sz w:val="20"/>
          <w:szCs w:val="20"/>
        </w:rPr>
        <w:t xml:space="preserve">rong mục 2.5 có quy định giá trị độ pH của vật liệu. </w:t>
      </w:r>
      <w:r w:rsidR="00DB62CC" w:rsidRPr="00AD2139">
        <w:rPr>
          <w:rFonts w:ascii="Arial" w:hAnsi="Arial" w:cs="Arial"/>
          <w:sz w:val="20"/>
          <w:szCs w:val="20"/>
        </w:rPr>
        <w:t>Để làm rõ mức độ tiết kiềm của vật liệu đã thực hiện thí nghiệm đánh giá</w:t>
      </w:r>
      <w:r w:rsidRPr="00AD2139">
        <w:rPr>
          <w:rFonts w:ascii="Arial" w:hAnsi="Arial" w:cs="Arial"/>
          <w:sz w:val="20"/>
          <w:szCs w:val="20"/>
        </w:rPr>
        <w:t xml:space="preserve"> mức độ thay đổi </w:t>
      </w:r>
      <w:r w:rsidRPr="00AD2139">
        <w:rPr>
          <w:rFonts w:ascii="Arial" w:hAnsi="Arial" w:cs="Arial"/>
          <w:sz w:val="20"/>
          <w:szCs w:val="20"/>
        </w:rPr>
        <w:lastRenderedPageBreak/>
        <w:t>độ pH của dung dịch nước sau khi ngâm mẫu có và không có lớp trát sau các khoảng thời gian khác nhau. Nước sử dụng để ngâm mẫu là nước máy có độ pH bằng 7.</w:t>
      </w:r>
      <w:r w:rsidR="00DB62CC" w:rsidRPr="00AD2139">
        <w:rPr>
          <w:rFonts w:ascii="Arial" w:hAnsi="Arial" w:cs="Arial"/>
          <w:sz w:val="20"/>
          <w:szCs w:val="20"/>
        </w:rPr>
        <w:t xml:space="preserve"> </w:t>
      </w:r>
    </w:p>
    <w:p w:rsidR="00DB62CC" w:rsidRPr="00AD2139" w:rsidRDefault="00DB62CC" w:rsidP="00432B4B">
      <w:pPr>
        <w:spacing w:before="0" w:after="120" w:line="300" w:lineRule="exact"/>
        <w:jc w:val="both"/>
        <w:rPr>
          <w:rFonts w:ascii="Arial" w:hAnsi="Arial" w:cs="Arial"/>
          <w:sz w:val="20"/>
          <w:szCs w:val="20"/>
        </w:rPr>
      </w:pPr>
      <w:r w:rsidRPr="00AD2139">
        <w:rPr>
          <w:rFonts w:ascii="Arial" w:hAnsi="Arial" w:cs="Arial"/>
          <w:sz w:val="20"/>
          <w:szCs w:val="20"/>
        </w:rPr>
        <w:tab/>
        <w:t>Với các mẫu không có lớp trát, độ pH của nước ngâm có sự thay đổi đáng kể trong vòng 28 ngày đầu. Sau đó độ pH ổn định dần và sau 180 ngày hầu như không thay đổi. Độ pH của nước ngâm các mẫu gạch không nung có giá trị lớn nhất ở 180 ngày không vượt quá 8</w:t>
      </w:r>
      <w:proofErr w:type="gramStart"/>
      <w:r w:rsidRPr="00AD2139">
        <w:rPr>
          <w:rFonts w:ascii="Arial" w:hAnsi="Arial" w:cs="Arial"/>
          <w:sz w:val="20"/>
          <w:szCs w:val="20"/>
        </w:rPr>
        <w:t>,8</w:t>
      </w:r>
      <w:proofErr w:type="gramEnd"/>
      <w:r w:rsidRPr="00AD2139">
        <w:rPr>
          <w:rFonts w:ascii="Arial" w:hAnsi="Arial" w:cs="Arial"/>
          <w:sz w:val="20"/>
          <w:szCs w:val="20"/>
        </w:rPr>
        <w:t>. Giá trị này nhỏ hơn so với giá trị độ pH đo được khi ngâm mẫu đã nghiền mịn do ảnh hưởng độ đặc chắc của mẫu.</w:t>
      </w:r>
    </w:p>
    <w:p w:rsidR="000A78E7" w:rsidRPr="00AD2139" w:rsidRDefault="00DB62CC" w:rsidP="00432B4B">
      <w:pPr>
        <w:spacing w:before="0" w:after="120" w:line="300" w:lineRule="exact"/>
        <w:jc w:val="both"/>
        <w:rPr>
          <w:rFonts w:ascii="Arial" w:hAnsi="Arial" w:cs="Arial"/>
          <w:sz w:val="20"/>
          <w:szCs w:val="20"/>
        </w:rPr>
      </w:pPr>
      <w:r w:rsidRPr="00AD2139">
        <w:rPr>
          <w:rFonts w:ascii="Arial" w:hAnsi="Arial" w:cs="Arial"/>
          <w:sz w:val="20"/>
          <w:szCs w:val="20"/>
        </w:rPr>
        <w:tab/>
        <w:t>Các mẫu gạch không nung được trát lớp vữa xi măng M75 dày 10 mm</w:t>
      </w:r>
      <w:r w:rsidR="00F84083" w:rsidRPr="00AD2139">
        <w:rPr>
          <w:rFonts w:ascii="Arial" w:hAnsi="Arial" w:cs="Arial"/>
          <w:sz w:val="20"/>
          <w:szCs w:val="20"/>
        </w:rPr>
        <w:t xml:space="preserve"> và</w:t>
      </w:r>
      <w:r w:rsidRPr="00AD2139">
        <w:rPr>
          <w:rFonts w:ascii="Arial" w:hAnsi="Arial" w:cs="Arial"/>
          <w:sz w:val="20"/>
          <w:szCs w:val="20"/>
        </w:rPr>
        <w:t xml:space="preserve"> được phủ parafine trên các bề mặt còn lại. </w:t>
      </w:r>
      <w:r w:rsidR="00891968" w:rsidRPr="00AD2139">
        <w:rPr>
          <w:rFonts w:ascii="Arial" w:hAnsi="Arial" w:cs="Arial"/>
          <w:sz w:val="20"/>
          <w:szCs w:val="20"/>
        </w:rPr>
        <w:t>Độ pH của nước ngâm tăng nhanh ở ngay những ngày đầu và ổn định sau khoảng 7 ngày ở giá trị 10</w:t>
      </w:r>
      <w:proofErr w:type="gramStart"/>
      <w:r w:rsidR="00891968" w:rsidRPr="00AD2139">
        <w:rPr>
          <w:rFonts w:ascii="Arial" w:hAnsi="Arial" w:cs="Arial"/>
          <w:sz w:val="20"/>
          <w:szCs w:val="20"/>
        </w:rPr>
        <w:t>,6</w:t>
      </w:r>
      <w:proofErr w:type="gramEnd"/>
      <w:r w:rsidR="00891968" w:rsidRPr="00AD2139">
        <w:rPr>
          <w:rFonts w:ascii="Arial" w:hAnsi="Arial" w:cs="Arial"/>
          <w:sz w:val="20"/>
          <w:szCs w:val="20"/>
        </w:rPr>
        <w:t>. Độ pH của mẫu có lớp vữa trát có giá trị cao hơn mẫu không trát là do hydroxyt canxi trong vữa tiết vào nước. Điều này được khẳng định khi phân tích nồng độ ion Na</w:t>
      </w:r>
      <w:r w:rsidR="00891968" w:rsidRPr="00AD2139">
        <w:rPr>
          <w:rFonts w:ascii="Arial" w:hAnsi="Arial" w:cs="Arial"/>
          <w:sz w:val="20"/>
          <w:szCs w:val="20"/>
          <w:vertAlign w:val="superscript"/>
        </w:rPr>
        <w:t>+</w:t>
      </w:r>
      <w:r w:rsidR="00891968" w:rsidRPr="00AD2139">
        <w:rPr>
          <w:rFonts w:ascii="Arial" w:hAnsi="Arial" w:cs="Arial"/>
          <w:sz w:val="20"/>
          <w:szCs w:val="20"/>
        </w:rPr>
        <w:t xml:space="preserve"> và </w:t>
      </w:r>
      <w:r w:rsidR="00891968" w:rsidRPr="00AD2139">
        <w:rPr>
          <w:rFonts w:ascii="Arial" w:hAnsi="Arial" w:cs="Arial"/>
          <w:sz w:val="20"/>
          <w:szCs w:val="20"/>
        </w:rPr>
        <w:lastRenderedPageBreak/>
        <w:t>Ca</w:t>
      </w:r>
      <w:r w:rsidR="00891968" w:rsidRPr="00AD2139">
        <w:rPr>
          <w:rFonts w:ascii="Arial" w:hAnsi="Arial" w:cs="Arial"/>
          <w:sz w:val="20"/>
          <w:szCs w:val="20"/>
          <w:vertAlign w:val="superscript"/>
        </w:rPr>
        <w:t>2+</w:t>
      </w:r>
      <w:r w:rsidRPr="00AD2139">
        <w:rPr>
          <w:rFonts w:ascii="Arial" w:hAnsi="Arial" w:cs="Arial"/>
          <w:sz w:val="20"/>
          <w:szCs w:val="20"/>
        </w:rPr>
        <w:t xml:space="preserve"> </w:t>
      </w:r>
      <w:r w:rsidR="00891968" w:rsidRPr="00AD2139">
        <w:rPr>
          <w:rFonts w:ascii="Arial" w:hAnsi="Arial" w:cs="Arial"/>
          <w:sz w:val="20"/>
          <w:szCs w:val="20"/>
        </w:rPr>
        <w:t xml:space="preserve">trong nước ngâm. Điều này cho thấy gạch không nung </w:t>
      </w:r>
      <w:r w:rsidR="00DF46A9" w:rsidRPr="00AD2139">
        <w:rPr>
          <w:rFonts w:ascii="Arial" w:hAnsi="Arial" w:cs="Arial"/>
          <w:sz w:val="20"/>
          <w:szCs w:val="20"/>
        </w:rPr>
        <w:t xml:space="preserve">geopolymer </w:t>
      </w:r>
      <w:r w:rsidR="00891968" w:rsidRPr="00AD2139">
        <w:rPr>
          <w:rFonts w:ascii="Arial" w:hAnsi="Arial" w:cs="Arial"/>
          <w:sz w:val="20"/>
          <w:szCs w:val="20"/>
        </w:rPr>
        <w:t xml:space="preserve">không ảnh hưởng tới môi trường. </w:t>
      </w:r>
      <w:r w:rsidRPr="00AD2139">
        <w:rPr>
          <w:rFonts w:ascii="Arial" w:hAnsi="Arial" w:cs="Arial"/>
          <w:sz w:val="20"/>
          <w:szCs w:val="20"/>
        </w:rPr>
        <w:t xml:space="preserve"> </w:t>
      </w:r>
    </w:p>
    <w:p w:rsidR="000F394A" w:rsidRPr="00AD2139" w:rsidRDefault="004C6E56" w:rsidP="00AD2139">
      <w:pPr>
        <w:spacing w:before="0" w:after="60" w:line="280" w:lineRule="exact"/>
        <w:jc w:val="both"/>
        <w:rPr>
          <w:rFonts w:ascii="Arial" w:hAnsi="Arial" w:cs="Arial"/>
          <w:sz w:val="20"/>
          <w:szCs w:val="20"/>
        </w:rPr>
      </w:pPr>
      <w:r w:rsidRPr="00AD2139">
        <w:rPr>
          <w:rFonts w:ascii="Arial" w:hAnsi="Arial" w:cs="Arial"/>
          <w:sz w:val="20"/>
          <w:szCs w:val="20"/>
        </w:rPr>
        <w:tab/>
      </w:r>
      <w:r w:rsidR="000F394A" w:rsidRPr="00AD2139">
        <w:rPr>
          <w:rFonts w:ascii="Arial" w:hAnsi="Arial" w:cs="Arial"/>
          <w:sz w:val="20"/>
          <w:szCs w:val="20"/>
        </w:rPr>
        <w:t>Độ</w:t>
      </w:r>
      <w:r w:rsidR="00891968" w:rsidRPr="00AD2139">
        <w:rPr>
          <w:rFonts w:ascii="Arial" w:hAnsi="Arial" w:cs="Arial"/>
          <w:sz w:val="20"/>
          <w:szCs w:val="20"/>
        </w:rPr>
        <w:t xml:space="preserve"> bám dính của viên xây với vữa có vai trò lớn trong việc đảm bảo sự làm việc đồng thời của viên xây và vữa. Độ bám dính phụ thuộc không những vào bản chất viên xây mà còn phụ thuộc vào độ ẩm viên xây, bản ch</w:t>
      </w:r>
      <w:r w:rsidR="00F84083" w:rsidRPr="00AD2139">
        <w:rPr>
          <w:rFonts w:ascii="Arial" w:hAnsi="Arial" w:cs="Arial"/>
          <w:sz w:val="20"/>
          <w:szCs w:val="20"/>
        </w:rPr>
        <w:t>ấ</w:t>
      </w:r>
      <w:r w:rsidR="00891968" w:rsidRPr="00AD2139">
        <w:rPr>
          <w:rFonts w:ascii="Arial" w:hAnsi="Arial" w:cs="Arial"/>
          <w:sz w:val="20"/>
          <w:szCs w:val="20"/>
        </w:rPr>
        <w:t xml:space="preserve">t của vữa và điều kiện thi công. Các mẫu gạch không nung được giữ ở độ ẩm cân bằng với môi trường phòng thí nghiệm, vữa trát là vữa xi măng cát M75. Kết quả thí nghiệm cho thấy, cường độ bám dính của vữa với viên xây sau 28 ngày đạt </w:t>
      </w:r>
      <w:r w:rsidR="00D714F8" w:rsidRPr="00AD2139">
        <w:rPr>
          <w:rFonts w:ascii="Arial" w:hAnsi="Arial" w:cs="Arial"/>
          <w:sz w:val="20"/>
          <w:szCs w:val="20"/>
        </w:rPr>
        <w:t>0</w:t>
      </w:r>
      <w:proofErr w:type="gramStart"/>
      <w:r w:rsidR="00D714F8" w:rsidRPr="00AD2139">
        <w:rPr>
          <w:rFonts w:ascii="Arial" w:hAnsi="Arial" w:cs="Arial"/>
          <w:sz w:val="20"/>
          <w:szCs w:val="20"/>
        </w:rPr>
        <w:t>,18</w:t>
      </w:r>
      <w:proofErr w:type="gramEnd"/>
      <w:r w:rsidR="00D714F8" w:rsidRPr="00AD2139">
        <w:rPr>
          <w:rFonts w:ascii="Arial" w:hAnsi="Arial" w:cs="Arial"/>
          <w:sz w:val="20"/>
          <w:szCs w:val="20"/>
        </w:rPr>
        <w:t xml:space="preserve"> MPa. Giá trị này có thể coi là tương đương với cường độ bám dính của vữa cùng loại với gạch đất sét nung (0</w:t>
      </w:r>
      <w:proofErr w:type="gramStart"/>
      <w:r w:rsidR="00D714F8" w:rsidRPr="00AD2139">
        <w:rPr>
          <w:rFonts w:ascii="Arial" w:hAnsi="Arial" w:cs="Arial"/>
          <w:sz w:val="20"/>
          <w:szCs w:val="20"/>
        </w:rPr>
        <w:t>,15</w:t>
      </w:r>
      <w:proofErr w:type="gramEnd"/>
      <w:r w:rsidR="00D714F8" w:rsidRPr="00AD2139">
        <w:rPr>
          <w:rFonts w:ascii="Arial" w:hAnsi="Arial" w:cs="Arial"/>
          <w:sz w:val="20"/>
          <w:szCs w:val="20"/>
        </w:rPr>
        <w:t xml:space="preserve"> MPa) và gạch bê tông (0,2 MPa). Như vậy, gạch không nung </w:t>
      </w:r>
      <w:r w:rsidR="00DF46A9" w:rsidRPr="00AD2139">
        <w:rPr>
          <w:rFonts w:ascii="Arial" w:hAnsi="Arial" w:cs="Arial"/>
          <w:sz w:val="20"/>
          <w:szCs w:val="20"/>
        </w:rPr>
        <w:t xml:space="preserve">geopolymer </w:t>
      </w:r>
      <w:r w:rsidR="00991ABB" w:rsidRPr="00AD2139">
        <w:rPr>
          <w:rFonts w:ascii="Arial" w:hAnsi="Arial" w:cs="Arial"/>
          <w:sz w:val="20"/>
          <w:szCs w:val="20"/>
        </w:rPr>
        <w:t>sử dụng</w:t>
      </w:r>
      <w:r w:rsidR="00D714F8" w:rsidRPr="00AD2139">
        <w:rPr>
          <w:rFonts w:ascii="Arial" w:hAnsi="Arial" w:cs="Arial"/>
          <w:sz w:val="20"/>
          <w:szCs w:val="20"/>
        </w:rPr>
        <w:t xml:space="preserve"> bùn đỏ có thể sử dụng với vữa xây thông thường như gạch đất sét nung và gạch bê tông.</w:t>
      </w:r>
    </w:p>
    <w:p w:rsidR="000F394A" w:rsidRPr="00AD2139" w:rsidRDefault="004C6E56" w:rsidP="00AD2139">
      <w:pPr>
        <w:spacing w:before="0" w:after="60" w:line="280" w:lineRule="exact"/>
        <w:jc w:val="both"/>
        <w:rPr>
          <w:rFonts w:ascii="Arial" w:hAnsi="Arial" w:cs="Arial"/>
          <w:sz w:val="20"/>
          <w:szCs w:val="20"/>
        </w:rPr>
      </w:pPr>
      <w:r w:rsidRPr="00AD2139">
        <w:rPr>
          <w:rFonts w:ascii="Arial" w:hAnsi="Arial" w:cs="Arial"/>
          <w:sz w:val="20"/>
          <w:szCs w:val="20"/>
        </w:rPr>
        <w:tab/>
      </w:r>
      <w:r w:rsidR="000F394A" w:rsidRPr="00AD2139">
        <w:rPr>
          <w:rFonts w:ascii="Arial" w:hAnsi="Arial" w:cs="Arial"/>
          <w:sz w:val="20"/>
          <w:szCs w:val="20"/>
        </w:rPr>
        <w:t>Cường độ khối xây</w:t>
      </w:r>
      <w:r w:rsidR="00D714F8" w:rsidRPr="00AD2139">
        <w:rPr>
          <w:rFonts w:ascii="Arial" w:hAnsi="Arial" w:cs="Arial"/>
          <w:sz w:val="20"/>
          <w:szCs w:val="20"/>
        </w:rPr>
        <w:t xml:space="preserve"> được thí nghiệm </w:t>
      </w:r>
      <w:proofErr w:type="gramStart"/>
      <w:r w:rsidR="00D714F8" w:rsidRPr="00AD2139">
        <w:rPr>
          <w:rFonts w:ascii="Arial" w:hAnsi="Arial" w:cs="Arial"/>
          <w:sz w:val="20"/>
          <w:szCs w:val="20"/>
        </w:rPr>
        <w:t>theo</w:t>
      </w:r>
      <w:proofErr w:type="gramEnd"/>
      <w:r w:rsidR="00D714F8" w:rsidRPr="00AD2139">
        <w:rPr>
          <w:rFonts w:ascii="Arial" w:hAnsi="Arial" w:cs="Arial"/>
          <w:sz w:val="20"/>
          <w:szCs w:val="20"/>
        </w:rPr>
        <w:t xml:space="preserve"> tiêu chuẩn ASTM C1314</w:t>
      </w:r>
      <w:r w:rsidR="005C15D6" w:rsidRPr="00AD2139">
        <w:rPr>
          <w:rFonts w:ascii="Arial" w:hAnsi="Arial" w:cs="Arial"/>
          <w:sz w:val="20"/>
          <w:szCs w:val="20"/>
        </w:rPr>
        <w:t xml:space="preserve">-16, theo đó, </w:t>
      </w:r>
      <w:r w:rsidR="00F84083" w:rsidRPr="00AD2139">
        <w:rPr>
          <w:rFonts w:ascii="Arial" w:hAnsi="Arial" w:cs="Arial"/>
          <w:sz w:val="20"/>
          <w:szCs w:val="20"/>
        </w:rPr>
        <w:t xml:space="preserve">xây chồng </w:t>
      </w:r>
      <w:r w:rsidR="005C15D6" w:rsidRPr="00AD2139">
        <w:rPr>
          <w:rFonts w:ascii="Arial" w:hAnsi="Arial" w:cs="Arial"/>
          <w:sz w:val="20"/>
          <w:szCs w:val="20"/>
        </w:rPr>
        <w:t>04 viên xây lên nhau</w:t>
      </w:r>
      <w:r w:rsidR="00F84083" w:rsidRPr="00AD2139">
        <w:rPr>
          <w:rFonts w:ascii="Arial" w:hAnsi="Arial" w:cs="Arial"/>
          <w:sz w:val="20"/>
          <w:szCs w:val="20"/>
        </w:rPr>
        <w:t xml:space="preserve"> bằng</w:t>
      </w:r>
      <w:r w:rsidR="005C15D6" w:rsidRPr="00AD2139">
        <w:rPr>
          <w:rFonts w:ascii="Arial" w:hAnsi="Arial" w:cs="Arial"/>
          <w:sz w:val="20"/>
          <w:szCs w:val="20"/>
        </w:rPr>
        <w:t xml:space="preserve"> vữa xi măng cát M75. Các loại viên xây bao gồm gạch không nung </w:t>
      </w:r>
      <w:r w:rsidR="00DF46A9" w:rsidRPr="00AD2139">
        <w:rPr>
          <w:rFonts w:ascii="Arial" w:hAnsi="Arial" w:cs="Arial"/>
          <w:sz w:val="20"/>
          <w:szCs w:val="20"/>
        </w:rPr>
        <w:t xml:space="preserve">geopolymer </w:t>
      </w:r>
      <w:r w:rsidR="00991ABB" w:rsidRPr="00AD2139">
        <w:rPr>
          <w:rFonts w:ascii="Arial" w:hAnsi="Arial" w:cs="Arial"/>
          <w:sz w:val="20"/>
          <w:szCs w:val="20"/>
        </w:rPr>
        <w:t>sử dụng</w:t>
      </w:r>
      <w:r w:rsidR="005C15D6" w:rsidRPr="00AD2139">
        <w:rPr>
          <w:rFonts w:ascii="Arial" w:hAnsi="Arial" w:cs="Arial"/>
          <w:sz w:val="20"/>
          <w:szCs w:val="20"/>
        </w:rPr>
        <w:t xml:space="preserve"> bùn đỏ RM.N10, gạch đất sét nung có cường độ thực tế 13</w:t>
      </w:r>
      <w:proofErr w:type="gramStart"/>
      <w:r w:rsidR="005C15D6" w:rsidRPr="00AD2139">
        <w:rPr>
          <w:rFonts w:ascii="Arial" w:hAnsi="Arial" w:cs="Arial"/>
          <w:sz w:val="20"/>
          <w:szCs w:val="20"/>
        </w:rPr>
        <w:t>,5</w:t>
      </w:r>
      <w:proofErr w:type="gramEnd"/>
      <w:r w:rsidR="005C15D6" w:rsidRPr="00AD2139">
        <w:rPr>
          <w:rFonts w:ascii="Arial" w:hAnsi="Arial" w:cs="Arial"/>
          <w:sz w:val="20"/>
          <w:szCs w:val="20"/>
        </w:rPr>
        <w:t xml:space="preserve"> MPa và gạch bê tông đặc có cường độ thực tế 14,7 MPa. Kết quả thí nghiệm cho thấy, khối xây gạch đất sét nung phá hoại nhanh, gần như không ghi nhận được vết nứt, khối xây gạch bê tông và gạch RM.N10 có thể ghi nhận được hình thành vết nứt ở giai đoạn đầu. Các vết nứt dọc từ trên xuống đi qua cả phần gạch và vữa xây. Cường độ của khối xây gạch đất sét nung đạt 6</w:t>
      </w:r>
      <w:proofErr w:type="gramStart"/>
      <w:r w:rsidR="005C15D6" w:rsidRPr="00AD2139">
        <w:rPr>
          <w:rFonts w:ascii="Arial" w:hAnsi="Arial" w:cs="Arial"/>
          <w:sz w:val="20"/>
          <w:szCs w:val="20"/>
        </w:rPr>
        <w:t>,5</w:t>
      </w:r>
      <w:proofErr w:type="gramEnd"/>
      <w:r w:rsidR="005C15D6" w:rsidRPr="00AD2139">
        <w:rPr>
          <w:rFonts w:ascii="Arial" w:hAnsi="Arial" w:cs="Arial"/>
          <w:sz w:val="20"/>
          <w:szCs w:val="20"/>
        </w:rPr>
        <w:t xml:space="preserve"> MPa, gạch bê tông đạt 7,2 MPa và gạch RM.N10 đạt 6,6 MPa. Kết quả này cho thấy gạch không nung </w:t>
      </w:r>
      <w:r w:rsidR="00DF46A9" w:rsidRPr="00AD2139">
        <w:rPr>
          <w:rFonts w:ascii="Arial" w:hAnsi="Arial" w:cs="Arial"/>
          <w:sz w:val="20"/>
          <w:szCs w:val="20"/>
        </w:rPr>
        <w:t xml:space="preserve">geopolymer </w:t>
      </w:r>
      <w:r w:rsidR="005C15D6" w:rsidRPr="00AD2139">
        <w:rPr>
          <w:rFonts w:ascii="Arial" w:hAnsi="Arial" w:cs="Arial"/>
          <w:sz w:val="20"/>
          <w:szCs w:val="20"/>
        </w:rPr>
        <w:t xml:space="preserve">sử dụng bùn đỏ </w:t>
      </w:r>
      <w:r w:rsidR="00991ABB" w:rsidRPr="00AD2139">
        <w:rPr>
          <w:rFonts w:ascii="Arial" w:hAnsi="Arial" w:cs="Arial"/>
          <w:sz w:val="20"/>
          <w:szCs w:val="20"/>
        </w:rPr>
        <w:t>có thể sử dụng cho khối xây tương tự như gạch đất sét nung và gạch bê tông.</w:t>
      </w:r>
    </w:p>
    <w:p w:rsidR="00AC7CC5" w:rsidRPr="00AD2139" w:rsidRDefault="00AC7CC5" w:rsidP="00AD2139">
      <w:pPr>
        <w:spacing w:before="0" w:after="60" w:line="280" w:lineRule="exact"/>
        <w:jc w:val="both"/>
        <w:rPr>
          <w:rFonts w:ascii="Arial" w:hAnsi="Arial" w:cs="Arial"/>
          <w:b/>
          <w:sz w:val="20"/>
          <w:szCs w:val="20"/>
        </w:rPr>
      </w:pPr>
      <w:r w:rsidRPr="00AD2139">
        <w:rPr>
          <w:rFonts w:ascii="Arial" w:hAnsi="Arial" w:cs="Arial"/>
          <w:b/>
          <w:sz w:val="20"/>
          <w:szCs w:val="20"/>
        </w:rPr>
        <w:t>4. Kết luận</w:t>
      </w:r>
    </w:p>
    <w:p w:rsidR="00AC7CC5" w:rsidRPr="00AD2139" w:rsidRDefault="00991ABB" w:rsidP="00AD2139">
      <w:pPr>
        <w:spacing w:before="0" w:after="60" w:line="280" w:lineRule="exact"/>
        <w:jc w:val="both"/>
        <w:rPr>
          <w:rFonts w:ascii="Arial" w:hAnsi="Arial" w:cs="Arial"/>
          <w:sz w:val="20"/>
          <w:szCs w:val="20"/>
        </w:rPr>
      </w:pPr>
      <w:r w:rsidRPr="00AD2139">
        <w:rPr>
          <w:rFonts w:ascii="Arial" w:hAnsi="Arial" w:cs="Arial"/>
          <w:sz w:val="20"/>
          <w:szCs w:val="20"/>
        </w:rPr>
        <w:tab/>
        <w:t xml:space="preserve">Các kết quả nghiên cứu đã trình bày ở trên cho thấy, bùn đỏ phế thải Nhà máy alumin Tân Rai có thể được sử dụng để chế tạo </w:t>
      </w:r>
      <w:r w:rsidR="00DF46A9" w:rsidRPr="00AD2139">
        <w:rPr>
          <w:rFonts w:ascii="Arial" w:hAnsi="Arial" w:cs="Arial"/>
          <w:sz w:val="20"/>
          <w:szCs w:val="20"/>
        </w:rPr>
        <w:t xml:space="preserve">geopolymer </w:t>
      </w:r>
      <w:proofErr w:type="gramStart"/>
      <w:r w:rsidRPr="00AD2139">
        <w:rPr>
          <w:rFonts w:ascii="Arial" w:hAnsi="Arial" w:cs="Arial"/>
          <w:sz w:val="20"/>
          <w:szCs w:val="20"/>
        </w:rPr>
        <w:t>theo</w:t>
      </w:r>
      <w:proofErr w:type="gramEnd"/>
      <w:r w:rsidRPr="00AD2139">
        <w:rPr>
          <w:rFonts w:ascii="Arial" w:hAnsi="Arial" w:cs="Arial"/>
          <w:sz w:val="20"/>
          <w:szCs w:val="20"/>
        </w:rPr>
        <w:t xml:space="preserve"> công nghệ chưng áp. Sử dụng công nghệ này cho phép tận dụng được các thành phần có ích trong bùn đỏ, đồng thời giảm được lượng kiềm dư có hại cho môi trường.</w:t>
      </w:r>
    </w:p>
    <w:p w:rsidR="00991ABB" w:rsidRPr="00AD2139" w:rsidRDefault="00991ABB" w:rsidP="00AD2139">
      <w:pPr>
        <w:spacing w:before="0" w:after="60" w:line="280" w:lineRule="exact"/>
        <w:jc w:val="both"/>
        <w:rPr>
          <w:rFonts w:ascii="Arial" w:hAnsi="Arial" w:cs="Arial"/>
          <w:sz w:val="20"/>
          <w:szCs w:val="20"/>
        </w:rPr>
      </w:pPr>
      <w:r w:rsidRPr="00AD2139">
        <w:rPr>
          <w:rFonts w:ascii="Arial" w:hAnsi="Arial" w:cs="Arial"/>
          <w:sz w:val="20"/>
          <w:szCs w:val="20"/>
        </w:rPr>
        <w:tab/>
        <w:t xml:space="preserve">Đã xây dựng các chỉ tiêu kỹ thuật cho gạch không nung </w:t>
      </w:r>
      <w:r w:rsidR="00DF46A9" w:rsidRPr="00AD2139">
        <w:rPr>
          <w:rFonts w:ascii="Arial" w:hAnsi="Arial" w:cs="Arial"/>
          <w:sz w:val="20"/>
          <w:szCs w:val="20"/>
        </w:rPr>
        <w:t xml:space="preserve">geopolymer </w:t>
      </w:r>
      <w:r w:rsidRPr="00AD2139">
        <w:rPr>
          <w:rFonts w:ascii="Arial" w:hAnsi="Arial" w:cs="Arial"/>
          <w:sz w:val="20"/>
          <w:szCs w:val="20"/>
        </w:rPr>
        <w:t>sử dụng bùn đỏ, đảm bảo khả năng sử dụng, thân thiện môi trườ</w:t>
      </w:r>
      <w:r w:rsidR="0064110B" w:rsidRPr="00AD2139">
        <w:rPr>
          <w:rFonts w:ascii="Arial" w:hAnsi="Arial" w:cs="Arial"/>
          <w:sz w:val="20"/>
          <w:szCs w:val="20"/>
        </w:rPr>
        <w:t>ng. Trên c</w:t>
      </w:r>
      <w:r w:rsidRPr="00AD2139">
        <w:rPr>
          <w:rFonts w:ascii="Arial" w:hAnsi="Arial" w:cs="Arial"/>
          <w:sz w:val="20"/>
          <w:szCs w:val="20"/>
        </w:rPr>
        <w:t>ơ sở đề xuất này có thể xây dựng tiêu chuẩn cơ sở cho sản phẩm.</w:t>
      </w:r>
    </w:p>
    <w:p w:rsidR="00991ABB" w:rsidRPr="00AD2139" w:rsidRDefault="00991ABB" w:rsidP="00AD2139">
      <w:pPr>
        <w:spacing w:before="0" w:after="60" w:line="280" w:lineRule="exact"/>
        <w:jc w:val="both"/>
        <w:rPr>
          <w:rFonts w:ascii="Arial" w:hAnsi="Arial" w:cs="Arial"/>
          <w:sz w:val="20"/>
          <w:szCs w:val="20"/>
        </w:rPr>
      </w:pPr>
      <w:r w:rsidRPr="00AD2139">
        <w:rPr>
          <w:rFonts w:ascii="Arial" w:hAnsi="Arial" w:cs="Arial"/>
          <w:sz w:val="20"/>
          <w:szCs w:val="20"/>
        </w:rPr>
        <w:lastRenderedPageBreak/>
        <w:tab/>
        <w:t xml:space="preserve">Gạch không nung </w:t>
      </w:r>
      <w:r w:rsidR="00DF46A9" w:rsidRPr="00AD2139">
        <w:rPr>
          <w:rFonts w:ascii="Arial" w:hAnsi="Arial" w:cs="Arial"/>
          <w:sz w:val="20"/>
          <w:szCs w:val="20"/>
        </w:rPr>
        <w:t xml:space="preserve">geopolymer </w:t>
      </w:r>
      <w:r w:rsidRPr="00AD2139">
        <w:rPr>
          <w:rFonts w:ascii="Arial" w:hAnsi="Arial" w:cs="Arial"/>
          <w:sz w:val="20"/>
          <w:szCs w:val="20"/>
        </w:rPr>
        <w:t xml:space="preserve">sử dụng bùn đỏ có cường độ ổn định ngay sau khi sản xuất, ít tiết kiềm ra môi trường, có khả năng bám dính tốt với vữa xây thông thường. Khối xây </w:t>
      </w:r>
      <w:r w:rsidR="00A34177" w:rsidRPr="00AD2139">
        <w:rPr>
          <w:rFonts w:ascii="Arial" w:hAnsi="Arial" w:cs="Arial"/>
          <w:sz w:val="20"/>
          <w:szCs w:val="20"/>
        </w:rPr>
        <w:t>dùng</w:t>
      </w:r>
      <w:r w:rsidRPr="00AD2139">
        <w:rPr>
          <w:rFonts w:ascii="Arial" w:hAnsi="Arial" w:cs="Arial"/>
          <w:sz w:val="20"/>
          <w:szCs w:val="20"/>
        </w:rPr>
        <w:t xml:space="preserve"> gạch không nung</w:t>
      </w:r>
      <w:r w:rsidR="00A34177" w:rsidRPr="00AD2139">
        <w:rPr>
          <w:rFonts w:ascii="Arial" w:hAnsi="Arial" w:cs="Arial"/>
          <w:sz w:val="20"/>
          <w:szCs w:val="20"/>
        </w:rPr>
        <w:t xml:space="preserve"> </w:t>
      </w:r>
      <w:r w:rsidR="00DF46A9" w:rsidRPr="00AD2139">
        <w:rPr>
          <w:rFonts w:ascii="Arial" w:hAnsi="Arial" w:cs="Arial"/>
          <w:sz w:val="20"/>
          <w:szCs w:val="20"/>
        </w:rPr>
        <w:t xml:space="preserve">geopolymer </w:t>
      </w:r>
      <w:r w:rsidR="00A34177" w:rsidRPr="00AD2139">
        <w:rPr>
          <w:rFonts w:ascii="Arial" w:hAnsi="Arial" w:cs="Arial"/>
          <w:sz w:val="20"/>
          <w:szCs w:val="20"/>
        </w:rPr>
        <w:t xml:space="preserve">sử dụng bùn đỏ </w:t>
      </w:r>
      <w:r w:rsidRPr="00AD2139">
        <w:rPr>
          <w:rFonts w:ascii="Arial" w:hAnsi="Arial" w:cs="Arial"/>
          <w:sz w:val="20"/>
          <w:szCs w:val="20"/>
        </w:rPr>
        <w:t xml:space="preserve">có cường độ tương đương </w:t>
      </w:r>
      <w:r w:rsidR="00A34177" w:rsidRPr="00AD2139">
        <w:rPr>
          <w:rFonts w:ascii="Arial" w:hAnsi="Arial" w:cs="Arial"/>
          <w:sz w:val="20"/>
          <w:szCs w:val="20"/>
        </w:rPr>
        <w:t>với khối xây dùng gạch đất sét nung và</w:t>
      </w:r>
      <w:r w:rsidRPr="00AD2139">
        <w:rPr>
          <w:rFonts w:ascii="Arial" w:hAnsi="Arial" w:cs="Arial"/>
          <w:sz w:val="20"/>
          <w:szCs w:val="20"/>
        </w:rPr>
        <w:t xml:space="preserve"> </w:t>
      </w:r>
      <w:r w:rsidR="00A34177" w:rsidRPr="00AD2139">
        <w:rPr>
          <w:rFonts w:ascii="Arial" w:hAnsi="Arial" w:cs="Arial"/>
          <w:sz w:val="20"/>
          <w:szCs w:val="20"/>
        </w:rPr>
        <w:t>gạch bê tông.</w:t>
      </w:r>
    </w:p>
    <w:p w:rsidR="00432B4B" w:rsidRPr="00AD2139" w:rsidRDefault="00432B4B" w:rsidP="00AD2139">
      <w:pPr>
        <w:pBdr>
          <w:top w:val="single" w:sz="4" w:space="1" w:color="auto"/>
          <w:bottom w:val="single" w:sz="4" w:space="1" w:color="auto"/>
        </w:pBdr>
        <w:spacing w:before="0" w:after="60" w:line="280" w:lineRule="exact"/>
        <w:ind w:firstLine="340"/>
        <w:jc w:val="both"/>
        <w:rPr>
          <w:rFonts w:ascii="Arial" w:eastAsia="Times New Roman" w:hAnsi="Arial" w:cs="Arial"/>
          <w:b/>
          <w:sz w:val="18"/>
          <w:szCs w:val="18"/>
        </w:rPr>
      </w:pPr>
      <w:r w:rsidRPr="00AD2139">
        <w:rPr>
          <w:rFonts w:ascii="Arial" w:eastAsia="Times New Roman" w:hAnsi="Arial" w:cs="Arial"/>
          <w:b/>
          <w:sz w:val="18"/>
          <w:szCs w:val="18"/>
        </w:rPr>
        <w:t>TÀI LIỆU THAM KHẢO</w:t>
      </w:r>
    </w:p>
    <w:p w:rsidR="00DF46A9" w:rsidRPr="00AD2139" w:rsidRDefault="00DF46A9" w:rsidP="00AD2139">
      <w:pPr>
        <w:spacing w:before="0" w:after="60" w:line="280" w:lineRule="exact"/>
        <w:ind w:left="340" w:hanging="340"/>
        <w:jc w:val="both"/>
        <w:rPr>
          <w:rFonts w:ascii="Arial" w:hAnsi="Arial" w:cs="Arial"/>
          <w:sz w:val="18"/>
          <w:szCs w:val="18"/>
        </w:rPr>
      </w:pPr>
      <w:r w:rsidRPr="00AD2139">
        <w:rPr>
          <w:rFonts w:ascii="Arial" w:hAnsi="Arial" w:cs="Arial"/>
          <w:sz w:val="18"/>
          <w:szCs w:val="18"/>
        </w:rPr>
        <w:t>1.</w:t>
      </w:r>
      <w:r w:rsidR="00432B4B" w:rsidRPr="00AD2139">
        <w:rPr>
          <w:rFonts w:ascii="Arial" w:hAnsi="Arial" w:cs="Arial"/>
          <w:sz w:val="18"/>
          <w:szCs w:val="18"/>
        </w:rPr>
        <w:tab/>
      </w:r>
      <w:r w:rsidR="00C53CF7" w:rsidRPr="00AD2139">
        <w:rPr>
          <w:rFonts w:ascii="Arial" w:hAnsi="Arial" w:cs="Arial"/>
          <w:sz w:val="18"/>
          <w:szCs w:val="18"/>
        </w:rPr>
        <w:t>Luu Duc Hai, Nguyen Manh Khai, Tran Van Quy, Nguyen Xuan Huan</w:t>
      </w:r>
      <w:r w:rsidR="0064110B" w:rsidRPr="00AD2139">
        <w:rPr>
          <w:rFonts w:ascii="Arial" w:hAnsi="Arial" w:cs="Arial"/>
          <w:sz w:val="18"/>
          <w:szCs w:val="18"/>
        </w:rPr>
        <w:t xml:space="preserve"> (2014)</w:t>
      </w:r>
      <w:r w:rsidR="00DD0F00" w:rsidRPr="00AD2139">
        <w:rPr>
          <w:rFonts w:ascii="Arial" w:hAnsi="Arial" w:cs="Arial"/>
          <w:sz w:val="18"/>
          <w:szCs w:val="18"/>
        </w:rPr>
        <w:t xml:space="preserve">. </w:t>
      </w:r>
      <w:r w:rsidR="00C53CF7" w:rsidRPr="00AD2139">
        <w:rPr>
          <w:rFonts w:ascii="Arial" w:hAnsi="Arial" w:cs="Arial"/>
          <w:sz w:val="18"/>
          <w:szCs w:val="18"/>
        </w:rPr>
        <w:t>Material composition and properties of red mud coming from alumina processing p</w:t>
      </w:r>
      <w:r w:rsidR="00DD0F00" w:rsidRPr="00AD2139">
        <w:rPr>
          <w:rFonts w:ascii="Arial" w:hAnsi="Arial" w:cs="Arial"/>
          <w:sz w:val="18"/>
          <w:szCs w:val="18"/>
        </w:rPr>
        <w:t>lant Tan Rai, Lam Dong, Vietnam.</w:t>
      </w:r>
      <w:r w:rsidR="00C53CF7" w:rsidRPr="00AD2139">
        <w:rPr>
          <w:rFonts w:ascii="Arial" w:hAnsi="Arial" w:cs="Arial"/>
          <w:sz w:val="18"/>
          <w:szCs w:val="18"/>
        </w:rPr>
        <w:t xml:space="preserve"> </w:t>
      </w:r>
      <w:r w:rsidR="00C53CF7" w:rsidRPr="00AD2139">
        <w:rPr>
          <w:rFonts w:ascii="Arial" w:hAnsi="Arial" w:cs="Arial"/>
          <w:i/>
          <w:sz w:val="18"/>
          <w:szCs w:val="18"/>
        </w:rPr>
        <w:t>International Journal of Research in Earth &amp; Environmental Sciences, 1 (6),</w:t>
      </w:r>
      <w:r w:rsidR="0064110B" w:rsidRPr="00AD2139">
        <w:rPr>
          <w:rFonts w:ascii="Arial" w:hAnsi="Arial" w:cs="Arial"/>
          <w:i/>
          <w:sz w:val="18"/>
          <w:szCs w:val="18"/>
        </w:rPr>
        <w:t xml:space="preserve"> </w:t>
      </w:r>
      <w:r w:rsidR="00C53CF7" w:rsidRPr="00AD2139">
        <w:rPr>
          <w:rFonts w:ascii="Arial" w:hAnsi="Arial" w:cs="Arial"/>
          <w:i/>
          <w:sz w:val="18"/>
          <w:szCs w:val="18"/>
        </w:rPr>
        <w:t>pp.1-7</w:t>
      </w:r>
      <w:r w:rsidR="0064110B" w:rsidRPr="00AD2139">
        <w:rPr>
          <w:rFonts w:ascii="Arial" w:hAnsi="Arial" w:cs="Arial"/>
          <w:i/>
          <w:sz w:val="18"/>
          <w:szCs w:val="18"/>
        </w:rPr>
        <w:t>.</w:t>
      </w:r>
    </w:p>
    <w:p w:rsidR="00DF46A9" w:rsidRPr="00AD2139" w:rsidRDefault="00DD0F00" w:rsidP="00AD2139">
      <w:pPr>
        <w:spacing w:before="0" w:after="60" w:line="280" w:lineRule="exact"/>
        <w:ind w:left="340" w:hanging="340"/>
        <w:jc w:val="both"/>
        <w:rPr>
          <w:rFonts w:ascii="Arial" w:hAnsi="Arial" w:cs="Arial"/>
          <w:i/>
          <w:sz w:val="18"/>
          <w:szCs w:val="18"/>
        </w:rPr>
      </w:pPr>
      <w:r w:rsidRPr="00AD2139">
        <w:rPr>
          <w:rFonts w:ascii="Arial" w:hAnsi="Arial" w:cs="Arial"/>
          <w:sz w:val="18"/>
          <w:szCs w:val="18"/>
        </w:rPr>
        <w:t>2</w:t>
      </w:r>
      <w:r w:rsidR="00DF46A9" w:rsidRPr="00AD2139">
        <w:rPr>
          <w:rFonts w:ascii="Arial" w:hAnsi="Arial" w:cs="Arial"/>
          <w:sz w:val="18"/>
          <w:szCs w:val="18"/>
        </w:rPr>
        <w:t>.</w:t>
      </w:r>
      <w:r w:rsidR="001E3D3F" w:rsidRPr="00AD2139">
        <w:rPr>
          <w:rFonts w:ascii="Arial" w:hAnsi="Arial" w:cs="Arial"/>
          <w:sz w:val="18"/>
          <w:szCs w:val="18"/>
        </w:rPr>
        <w:t xml:space="preserve"> </w:t>
      </w:r>
      <w:r w:rsidR="00432B4B" w:rsidRPr="00AD2139">
        <w:rPr>
          <w:rFonts w:ascii="Arial" w:hAnsi="Arial" w:cs="Arial"/>
          <w:sz w:val="18"/>
          <w:szCs w:val="18"/>
        </w:rPr>
        <w:tab/>
      </w:r>
      <w:r w:rsidR="001E3D3F" w:rsidRPr="00AD2139">
        <w:rPr>
          <w:rFonts w:ascii="Arial" w:hAnsi="Arial" w:cs="Arial"/>
          <w:sz w:val="18"/>
          <w:szCs w:val="18"/>
        </w:rPr>
        <w:t>Vũ Đức Lợi và các ctv</w:t>
      </w:r>
      <w:r w:rsidR="0064110B" w:rsidRPr="00AD2139">
        <w:rPr>
          <w:rFonts w:ascii="Arial" w:hAnsi="Arial" w:cs="Arial"/>
          <w:sz w:val="18"/>
          <w:szCs w:val="18"/>
        </w:rPr>
        <w:t xml:space="preserve"> (2014)</w:t>
      </w:r>
      <w:r w:rsidR="001E3D3F" w:rsidRPr="00AD2139">
        <w:rPr>
          <w:rFonts w:ascii="Arial" w:hAnsi="Arial" w:cs="Arial"/>
          <w:sz w:val="18"/>
          <w:szCs w:val="18"/>
        </w:rPr>
        <w:t xml:space="preserve">. Nghiên cứu công nghệ sản xuất thép và vật liệu xây dựng không nung từ nguồn thải bùn đỏ trong quá trình sản xuất alumin tại Tây Nguyên. </w:t>
      </w:r>
      <w:r w:rsidR="001E3D3F" w:rsidRPr="00AD2139">
        <w:rPr>
          <w:rFonts w:ascii="Arial" w:hAnsi="Arial" w:cs="Arial"/>
          <w:i/>
          <w:sz w:val="18"/>
          <w:szCs w:val="18"/>
        </w:rPr>
        <w:t>Báo cáo tổng kết đề tài Mã số KHCN-TN3/11-15</w:t>
      </w:r>
      <w:r w:rsidR="0064110B" w:rsidRPr="00AD2139">
        <w:rPr>
          <w:rFonts w:ascii="Arial" w:hAnsi="Arial" w:cs="Arial"/>
          <w:i/>
          <w:sz w:val="18"/>
          <w:szCs w:val="18"/>
        </w:rPr>
        <w:t>.</w:t>
      </w:r>
    </w:p>
    <w:p w:rsidR="00DD0F00" w:rsidRPr="00AD2139" w:rsidRDefault="00DD0F00" w:rsidP="00AD2139">
      <w:pPr>
        <w:spacing w:before="0" w:after="60" w:line="280" w:lineRule="exact"/>
        <w:ind w:left="340" w:hanging="340"/>
        <w:jc w:val="both"/>
        <w:rPr>
          <w:rFonts w:ascii="Arial" w:hAnsi="Arial" w:cs="Arial"/>
          <w:sz w:val="18"/>
          <w:szCs w:val="18"/>
        </w:rPr>
      </w:pPr>
      <w:r w:rsidRPr="00AD2139">
        <w:rPr>
          <w:rFonts w:ascii="Arial" w:hAnsi="Arial" w:cs="Arial"/>
          <w:sz w:val="18"/>
          <w:szCs w:val="18"/>
        </w:rPr>
        <w:t xml:space="preserve">3. </w:t>
      </w:r>
      <w:r w:rsidR="00432B4B" w:rsidRPr="00AD2139">
        <w:rPr>
          <w:rFonts w:ascii="Arial" w:hAnsi="Arial" w:cs="Arial"/>
          <w:sz w:val="18"/>
          <w:szCs w:val="18"/>
        </w:rPr>
        <w:tab/>
      </w:r>
      <w:r w:rsidRPr="00AD2139">
        <w:rPr>
          <w:rFonts w:ascii="Arial" w:hAnsi="Arial" w:cs="Arial"/>
          <w:sz w:val="18"/>
          <w:szCs w:val="18"/>
        </w:rPr>
        <w:t>Vũ Đức Lợi, Dương Tuấn Hưng, Nguyễn Văn Tuyến, Phạm Sơn Lâm, Đặng Quốc Trung</w:t>
      </w:r>
      <w:r w:rsidR="0064110B" w:rsidRPr="00AD2139">
        <w:rPr>
          <w:rFonts w:ascii="Arial" w:hAnsi="Arial" w:cs="Arial"/>
          <w:sz w:val="18"/>
          <w:szCs w:val="18"/>
        </w:rPr>
        <w:t xml:space="preserve"> (2016)</w:t>
      </w:r>
      <w:r w:rsidRPr="00AD2139">
        <w:rPr>
          <w:rFonts w:ascii="Arial" w:hAnsi="Arial" w:cs="Arial"/>
          <w:sz w:val="18"/>
          <w:szCs w:val="18"/>
        </w:rPr>
        <w:t xml:space="preserve">. Tổng quan các công nghệ </w:t>
      </w:r>
      <w:proofErr w:type="gramStart"/>
      <w:r w:rsidRPr="00AD2139">
        <w:rPr>
          <w:rFonts w:ascii="Arial" w:hAnsi="Arial" w:cs="Arial"/>
          <w:sz w:val="18"/>
          <w:szCs w:val="18"/>
        </w:rPr>
        <w:t>thu</w:t>
      </w:r>
      <w:proofErr w:type="gramEnd"/>
      <w:r w:rsidRPr="00AD2139">
        <w:rPr>
          <w:rFonts w:ascii="Arial" w:hAnsi="Arial" w:cs="Arial"/>
          <w:sz w:val="18"/>
          <w:szCs w:val="18"/>
        </w:rPr>
        <w:t xml:space="preserve"> hồi sắt từ bùn đỏ. </w:t>
      </w:r>
      <w:r w:rsidRPr="00AD2139">
        <w:rPr>
          <w:rFonts w:ascii="Arial" w:hAnsi="Arial" w:cs="Arial"/>
          <w:i/>
          <w:sz w:val="18"/>
          <w:szCs w:val="18"/>
        </w:rPr>
        <w:t>Tạp chí Khoa học và Công nghệ Việt Nam, 8(9), tr.15-23</w:t>
      </w:r>
      <w:r w:rsidR="0064110B" w:rsidRPr="00AD2139">
        <w:rPr>
          <w:rFonts w:ascii="Arial" w:hAnsi="Arial" w:cs="Arial"/>
          <w:i/>
          <w:sz w:val="18"/>
          <w:szCs w:val="18"/>
        </w:rPr>
        <w:t>.</w:t>
      </w:r>
    </w:p>
    <w:p w:rsidR="001E3D3F" w:rsidRPr="00AD2139" w:rsidRDefault="00DD0F00" w:rsidP="00AD2139">
      <w:pPr>
        <w:spacing w:before="0" w:after="60" w:line="280" w:lineRule="exact"/>
        <w:ind w:left="340" w:hanging="340"/>
        <w:jc w:val="both"/>
        <w:rPr>
          <w:rFonts w:ascii="Arial" w:hAnsi="Arial" w:cs="Arial"/>
          <w:i/>
          <w:sz w:val="18"/>
          <w:szCs w:val="18"/>
        </w:rPr>
      </w:pPr>
      <w:r w:rsidRPr="00AD2139">
        <w:rPr>
          <w:rFonts w:ascii="Arial" w:hAnsi="Arial" w:cs="Arial"/>
          <w:sz w:val="18"/>
          <w:szCs w:val="18"/>
        </w:rPr>
        <w:t>4</w:t>
      </w:r>
      <w:r w:rsidR="00DF46A9" w:rsidRPr="00AD2139">
        <w:rPr>
          <w:rFonts w:ascii="Arial" w:hAnsi="Arial" w:cs="Arial"/>
          <w:sz w:val="18"/>
          <w:szCs w:val="18"/>
        </w:rPr>
        <w:t>.</w:t>
      </w:r>
      <w:r w:rsidR="001E3D3F" w:rsidRPr="00AD2139">
        <w:rPr>
          <w:rFonts w:ascii="Arial" w:hAnsi="Arial" w:cs="Arial"/>
          <w:sz w:val="18"/>
          <w:szCs w:val="18"/>
        </w:rPr>
        <w:t xml:space="preserve"> </w:t>
      </w:r>
      <w:r w:rsidR="00432B4B" w:rsidRPr="00AD2139">
        <w:rPr>
          <w:rFonts w:ascii="Arial" w:hAnsi="Arial" w:cs="Arial"/>
          <w:sz w:val="18"/>
          <w:szCs w:val="18"/>
        </w:rPr>
        <w:tab/>
      </w:r>
      <w:r w:rsidR="001E3D3F" w:rsidRPr="00AD2139">
        <w:rPr>
          <w:rFonts w:ascii="Arial" w:hAnsi="Arial" w:cs="Arial"/>
          <w:sz w:val="18"/>
          <w:szCs w:val="18"/>
        </w:rPr>
        <w:t>Lưu Đức Hải và các ctv</w:t>
      </w:r>
      <w:r w:rsidR="000452CE" w:rsidRPr="00AD2139">
        <w:rPr>
          <w:rFonts w:ascii="Arial" w:hAnsi="Arial" w:cs="Arial"/>
          <w:sz w:val="18"/>
          <w:szCs w:val="18"/>
        </w:rPr>
        <w:t xml:space="preserve"> (2014)</w:t>
      </w:r>
      <w:r w:rsidR="001E3D3F" w:rsidRPr="00AD2139">
        <w:rPr>
          <w:rFonts w:ascii="Arial" w:hAnsi="Arial" w:cs="Arial"/>
          <w:sz w:val="18"/>
          <w:szCs w:val="18"/>
        </w:rPr>
        <w:t xml:space="preserve">. Nghiên cứu khả năng chế tạo vật liệu xây dựng từ bùn đỏ phát sinh trong công nghệ sản xuất alumin ở Tây Nguyên. </w:t>
      </w:r>
      <w:r w:rsidR="001E3D3F" w:rsidRPr="00AD2139">
        <w:rPr>
          <w:rFonts w:ascii="Arial" w:hAnsi="Arial" w:cs="Arial"/>
          <w:i/>
          <w:sz w:val="18"/>
          <w:szCs w:val="18"/>
        </w:rPr>
        <w:t>Báo cáo tổng kết đ</w:t>
      </w:r>
      <w:r w:rsidRPr="00AD2139">
        <w:rPr>
          <w:rFonts w:ascii="Arial" w:hAnsi="Arial" w:cs="Arial"/>
          <w:i/>
          <w:sz w:val="18"/>
          <w:szCs w:val="18"/>
        </w:rPr>
        <w:t>ề</w:t>
      </w:r>
      <w:r w:rsidR="001E3D3F" w:rsidRPr="00AD2139">
        <w:rPr>
          <w:rFonts w:ascii="Arial" w:hAnsi="Arial" w:cs="Arial"/>
          <w:i/>
          <w:sz w:val="18"/>
          <w:szCs w:val="18"/>
        </w:rPr>
        <w:t xml:space="preserve"> tài NCKH. Đại học Quốc Gia Hà Nộ</w:t>
      </w:r>
      <w:r w:rsidR="000452CE" w:rsidRPr="00AD2139">
        <w:rPr>
          <w:rFonts w:ascii="Arial" w:hAnsi="Arial" w:cs="Arial"/>
          <w:i/>
          <w:sz w:val="18"/>
          <w:szCs w:val="18"/>
        </w:rPr>
        <w:t>i.</w:t>
      </w:r>
      <w:r w:rsidR="001E3D3F" w:rsidRPr="00AD2139">
        <w:rPr>
          <w:rFonts w:ascii="Arial" w:hAnsi="Arial" w:cs="Arial"/>
          <w:i/>
          <w:sz w:val="18"/>
          <w:szCs w:val="18"/>
        </w:rPr>
        <w:t xml:space="preserve"> </w:t>
      </w:r>
    </w:p>
    <w:p w:rsidR="00DF46A9" w:rsidRPr="00AD2139" w:rsidRDefault="00DD0F00" w:rsidP="00AD2139">
      <w:pPr>
        <w:spacing w:before="0" w:after="60" w:line="280" w:lineRule="exact"/>
        <w:ind w:left="340" w:hanging="340"/>
        <w:jc w:val="both"/>
        <w:rPr>
          <w:rFonts w:ascii="Arial" w:hAnsi="Arial" w:cs="Arial"/>
          <w:i/>
          <w:sz w:val="18"/>
          <w:szCs w:val="18"/>
        </w:rPr>
      </w:pPr>
      <w:r w:rsidRPr="00AD2139">
        <w:rPr>
          <w:rFonts w:ascii="Arial" w:hAnsi="Arial" w:cs="Arial"/>
          <w:sz w:val="18"/>
          <w:szCs w:val="18"/>
        </w:rPr>
        <w:t>5</w:t>
      </w:r>
      <w:r w:rsidR="00DF46A9" w:rsidRPr="00AD2139">
        <w:rPr>
          <w:rFonts w:ascii="Arial" w:hAnsi="Arial" w:cs="Arial"/>
          <w:sz w:val="18"/>
          <w:szCs w:val="18"/>
        </w:rPr>
        <w:t>.</w:t>
      </w:r>
      <w:r w:rsidRPr="00AD2139">
        <w:rPr>
          <w:rFonts w:ascii="Arial" w:hAnsi="Arial" w:cs="Arial"/>
          <w:sz w:val="18"/>
          <w:szCs w:val="18"/>
        </w:rPr>
        <w:t xml:space="preserve"> </w:t>
      </w:r>
      <w:r w:rsidR="00432B4B" w:rsidRPr="00AD2139">
        <w:rPr>
          <w:rFonts w:ascii="Arial" w:hAnsi="Arial" w:cs="Arial"/>
          <w:sz w:val="18"/>
          <w:szCs w:val="18"/>
        </w:rPr>
        <w:tab/>
      </w:r>
      <w:r w:rsidRPr="00AD2139">
        <w:rPr>
          <w:rFonts w:ascii="Arial" w:hAnsi="Arial" w:cs="Arial"/>
          <w:spacing w:val="-2"/>
          <w:sz w:val="18"/>
          <w:szCs w:val="18"/>
        </w:rPr>
        <w:t>Nguyễn Thùy Linh, Lưu Đức Hải</w:t>
      </w:r>
      <w:r w:rsidR="000452CE" w:rsidRPr="00AD2139">
        <w:rPr>
          <w:rFonts w:ascii="Arial" w:hAnsi="Arial" w:cs="Arial"/>
          <w:spacing w:val="-2"/>
          <w:sz w:val="18"/>
          <w:szCs w:val="18"/>
        </w:rPr>
        <w:t xml:space="preserve"> (2013)</w:t>
      </w:r>
      <w:r w:rsidRPr="00AD2139">
        <w:rPr>
          <w:rFonts w:ascii="Arial" w:hAnsi="Arial" w:cs="Arial"/>
          <w:spacing w:val="-2"/>
          <w:sz w:val="18"/>
          <w:szCs w:val="18"/>
        </w:rPr>
        <w:t xml:space="preserve">. Phân tích chi phí lợi ích bài toán sản xuất gạch gốm nung từ bùn đỏ nhà máy Alumin Tân Rai, Lâm Đồng, </w:t>
      </w:r>
      <w:r w:rsidRPr="00AD2139">
        <w:rPr>
          <w:rFonts w:ascii="Arial" w:hAnsi="Arial" w:cs="Arial"/>
          <w:i/>
          <w:iCs/>
          <w:spacing w:val="-2"/>
          <w:sz w:val="18"/>
          <w:szCs w:val="18"/>
        </w:rPr>
        <w:t>Tạp chí Khoa học Đại học Quốc gia Hà Nội</w:t>
      </w:r>
      <w:r w:rsidRPr="00AD2139">
        <w:rPr>
          <w:rFonts w:ascii="Arial" w:hAnsi="Arial" w:cs="Arial"/>
          <w:i/>
          <w:spacing w:val="-2"/>
          <w:sz w:val="18"/>
          <w:szCs w:val="18"/>
        </w:rPr>
        <w:t xml:space="preserve">, </w:t>
      </w:r>
      <w:r w:rsidRPr="00AD2139">
        <w:rPr>
          <w:rFonts w:ascii="Arial" w:hAnsi="Arial" w:cs="Arial"/>
          <w:bCs/>
          <w:i/>
          <w:spacing w:val="-2"/>
          <w:sz w:val="18"/>
          <w:szCs w:val="18"/>
        </w:rPr>
        <w:t>29(3S)</w:t>
      </w:r>
      <w:r w:rsidRPr="00AD2139">
        <w:rPr>
          <w:rFonts w:ascii="Arial" w:hAnsi="Arial" w:cs="Arial"/>
          <w:i/>
          <w:spacing w:val="-2"/>
          <w:sz w:val="18"/>
          <w:szCs w:val="18"/>
        </w:rPr>
        <w:t>, tr.139-144.</w:t>
      </w:r>
    </w:p>
    <w:p w:rsidR="00DF46A9" w:rsidRPr="00AD2139" w:rsidRDefault="00DD0F00" w:rsidP="006825C0">
      <w:pPr>
        <w:spacing w:before="0" w:after="60" w:line="260" w:lineRule="exact"/>
        <w:ind w:left="340" w:hanging="340"/>
        <w:jc w:val="both"/>
        <w:rPr>
          <w:rFonts w:ascii="Arial" w:hAnsi="Arial" w:cs="Arial"/>
          <w:i/>
          <w:sz w:val="18"/>
          <w:szCs w:val="18"/>
        </w:rPr>
      </w:pPr>
      <w:r w:rsidRPr="00AD2139">
        <w:rPr>
          <w:rFonts w:ascii="Arial" w:hAnsi="Arial" w:cs="Arial"/>
          <w:sz w:val="18"/>
          <w:szCs w:val="18"/>
        </w:rPr>
        <w:t>6</w:t>
      </w:r>
      <w:r w:rsidR="00DF46A9" w:rsidRPr="00AD2139">
        <w:rPr>
          <w:rFonts w:ascii="Arial" w:hAnsi="Arial" w:cs="Arial"/>
          <w:sz w:val="18"/>
          <w:szCs w:val="18"/>
        </w:rPr>
        <w:t>.</w:t>
      </w:r>
      <w:r w:rsidRPr="00AD2139">
        <w:rPr>
          <w:rFonts w:ascii="Arial" w:hAnsi="Arial" w:cs="Arial"/>
          <w:sz w:val="18"/>
          <w:szCs w:val="18"/>
        </w:rPr>
        <w:t xml:space="preserve"> </w:t>
      </w:r>
      <w:r w:rsidR="00432B4B" w:rsidRPr="00AD2139">
        <w:rPr>
          <w:rFonts w:ascii="Arial" w:hAnsi="Arial" w:cs="Arial"/>
          <w:sz w:val="18"/>
          <w:szCs w:val="18"/>
        </w:rPr>
        <w:tab/>
      </w:r>
      <w:r w:rsidRPr="00AD2139">
        <w:rPr>
          <w:rFonts w:ascii="Arial" w:hAnsi="Arial" w:cs="Arial"/>
          <w:sz w:val="18"/>
          <w:szCs w:val="18"/>
        </w:rPr>
        <w:t>Nguyễn Hồng Hải và các ctv</w:t>
      </w:r>
      <w:r w:rsidR="000452CE" w:rsidRPr="00AD2139">
        <w:rPr>
          <w:rFonts w:ascii="Arial" w:hAnsi="Arial" w:cs="Arial"/>
          <w:sz w:val="18"/>
          <w:szCs w:val="18"/>
        </w:rPr>
        <w:t xml:space="preserve"> (2019)</w:t>
      </w:r>
      <w:r w:rsidRPr="00AD2139">
        <w:rPr>
          <w:rFonts w:ascii="Arial" w:hAnsi="Arial" w:cs="Arial"/>
          <w:sz w:val="18"/>
          <w:szCs w:val="18"/>
        </w:rPr>
        <w:t>. Sử dụng tro bay (Vĩnh Tân) và bùn đỏ (Tân Rai - Nhân Cơ) làm chất kết dính Geopolyme để chế tạo các loại gạch không nung và cấu kiện xây dựng dùng trong xây dựng công trình vùng TP.</w:t>
      </w:r>
      <w:r w:rsidR="00AD2139" w:rsidRPr="00AD2139">
        <w:rPr>
          <w:rFonts w:ascii="Arial" w:hAnsi="Arial" w:cs="Arial"/>
          <w:sz w:val="18"/>
          <w:szCs w:val="18"/>
        </w:rPr>
        <w:t xml:space="preserve"> </w:t>
      </w:r>
      <w:r w:rsidRPr="00AD2139">
        <w:rPr>
          <w:rFonts w:ascii="Arial" w:hAnsi="Arial" w:cs="Arial"/>
          <w:sz w:val="18"/>
          <w:szCs w:val="18"/>
        </w:rPr>
        <w:t xml:space="preserve">Hồ Chí Minh. </w:t>
      </w:r>
      <w:r w:rsidRPr="00AD2139">
        <w:rPr>
          <w:rFonts w:ascii="Arial" w:hAnsi="Arial" w:cs="Arial"/>
          <w:i/>
          <w:sz w:val="18"/>
          <w:szCs w:val="18"/>
        </w:rPr>
        <w:t>Báo cáo tổng kết đề tài NCKH, Hà Nội</w:t>
      </w:r>
      <w:r w:rsidR="000452CE" w:rsidRPr="00AD2139">
        <w:rPr>
          <w:rFonts w:ascii="Arial" w:hAnsi="Arial" w:cs="Arial"/>
          <w:i/>
          <w:sz w:val="18"/>
          <w:szCs w:val="18"/>
        </w:rPr>
        <w:t>.</w:t>
      </w:r>
    </w:p>
    <w:p w:rsidR="00DF46A9" w:rsidRPr="00AD2139" w:rsidRDefault="00DD0F00" w:rsidP="00AD2139">
      <w:pPr>
        <w:spacing w:before="0" w:after="60" w:line="280" w:lineRule="exact"/>
        <w:ind w:left="340" w:hanging="340"/>
        <w:jc w:val="both"/>
        <w:rPr>
          <w:rFonts w:ascii="Arial" w:hAnsi="Arial" w:cs="Arial"/>
          <w:i/>
          <w:sz w:val="18"/>
          <w:szCs w:val="18"/>
        </w:rPr>
      </w:pPr>
      <w:r w:rsidRPr="00AD2139">
        <w:rPr>
          <w:rFonts w:ascii="Arial" w:hAnsi="Arial" w:cs="Arial"/>
          <w:sz w:val="18"/>
          <w:szCs w:val="18"/>
        </w:rPr>
        <w:t>7</w:t>
      </w:r>
      <w:r w:rsidR="00DF46A9" w:rsidRPr="00AD2139">
        <w:rPr>
          <w:rFonts w:ascii="Arial" w:hAnsi="Arial" w:cs="Arial"/>
          <w:sz w:val="18"/>
          <w:szCs w:val="18"/>
        </w:rPr>
        <w:t>.</w:t>
      </w:r>
      <w:r w:rsidRPr="00AD2139">
        <w:rPr>
          <w:rFonts w:ascii="Arial" w:hAnsi="Arial" w:cs="Arial"/>
          <w:sz w:val="18"/>
          <w:szCs w:val="18"/>
        </w:rPr>
        <w:t xml:space="preserve"> </w:t>
      </w:r>
      <w:r w:rsidR="00432B4B" w:rsidRPr="00AD2139">
        <w:rPr>
          <w:rFonts w:ascii="Arial" w:hAnsi="Arial" w:cs="Arial"/>
          <w:sz w:val="18"/>
          <w:szCs w:val="18"/>
        </w:rPr>
        <w:tab/>
      </w:r>
      <w:r w:rsidRPr="00AD2139">
        <w:rPr>
          <w:rFonts w:ascii="Arial" w:hAnsi="Arial" w:cs="Arial"/>
          <w:sz w:val="18"/>
          <w:szCs w:val="18"/>
        </w:rPr>
        <w:t>Đỗ Quang Minh</w:t>
      </w:r>
      <w:r w:rsidR="00AD2139" w:rsidRPr="00AD2139">
        <w:rPr>
          <w:rFonts w:ascii="Arial" w:hAnsi="Arial" w:cs="Arial"/>
          <w:sz w:val="18"/>
          <w:szCs w:val="18"/>
        </w:rPr>
        <w:t xml:space="preserve"> (2009)</w:t>
      </w:r>
      <w:r w:rsidR="00CF3DFE" w:rsidRPr="00AD2139">
        <w:rPr>
          <w:rFonts w:ascii="Arial" w:hAnsi="Arial" w:cs="Arial"/>
          <w:sz w:val="18"/>
          <w:szCs w:val="18"/>
        </w:rPr>
        <w:t xml:space="preserve">. </w:t>
      </w:r>
      <w:r w:rsidRPr="00AD2139">
        <w:rPr>
          <w:rFonts w:ascii="Arial" w:hAnsi="Arial" w:cs="Arial"/>
          <w:sz w:val="18"/>
          <w:szCs w:val="18"/>
        </w:rPr>
        <w:t>Xi măng từ bùn đỏ</w:t>
      </w:r>
      <w:r w:rsidR="00CF3DFE" w:rsidRPr="00AD2139">
        <w:rPr>
          <w:rFonts w:ascii="Arial" w:hAnsi="Arial" w:cs="Arial"/>
          <w:sz w:val="18"/>
          <w:szCs w:val="18"/>
        </w:rPr>
        <w:t>.</w:t>
      </w:r>
      <w:r w:rsidRPr="00AD2139">
        <w:rPr>
          <w:rFonts w:ascii="Arial" w:hAnsi="Arial" w:cs="Arial"/>
          <w:sz w:val="18"/>
          <w:szCs w:val="18"/>
        </w:rPr>
        <w:t xml:space="preserve"> </w:t>
      </w:r>
      <w:r w:rsidRPr="00AD2139">
        <w:rPr>
          <w:rFonts w:ascii="Arial" w:hAnsi="Arial" w:cs="Arial"/>
          <w:i/>
          <w:sz w:val="18"/>
          <w:szCs w:val="18"/>
        </w:rPr>
        <w:t xml:space="preserve">Tạp chí Vật liệu xây dựng Việt Nam, 1(25), </w:t>
      </w:r>
      <w:proofErr w:type="gramStart"/>
      <w:r w:rsidRPr="00AD2139">
        <w:rPr>
          <w:rFonts w:ascii="Arial" w:hAnsi="Arial" w:cs="Arial"/>
          <w:i/>
          <w:sz w:val="18"/>
          <w:szCs w:val="18"/>
        </w:rPr>
        <w:t>tr</w:t>
      </w:r>
      <w:proofErr w:type="gramEnd"/>
      <w:r w:rsidRPr="00AD2139">
        <w:rPr>
          <w:rFonts w:ascii="Arial" w:hAnsi="Arial" w:cs="Arial"/>
          <w:i/>
          <w:sz w:val="18"/>
          <w:szCs w:val="18"/>
        </w:rPr>
        <w:t xml:space="preserve"> 40-44</w:t>
      </w:r>
      <w:r w:rsidR="009B0DBF">
        <w:rPr>
          <w:rFonts w:ascii="Arial" w:hAnsi="Arial" w:cs="Arial"/>
          <w:i/>
          <w:sz w:val="18"/>
          <w:szCs w:val="18"/>
        </w:rPr>
        <w:t>.</w:t>
      </w:r>
    </w:p>
    <w:p w:rsidR="00C53CF7" w:rsidRPr="00AD2139" w:rsidRDefault="00DF46A9" w:rsidP="00AD2139">
      <w:pPr>
        <w:spacing w:before="0" w:after="60" w:line="280" w:lineRule="exact"/>
        <w:ind w:left="340" w:hanging="340"/>
        <w:jc w:val="both"/>
        <w:rPr>
          <w:rFonts w:ascii="Arial" w:hAnsi="Arial" w:cs="Arial"/>
          <w:i/>
          <w:sz w:val="18"/>
          <w:szCs w:val="18"/>
        </w:rPr>
      </w:pPr>
      <w:r w:rsidRPr="00AD2139">
        <w:rPr>
          <w:rFonts w:ascii="Arial" w:hAnsi="Arial" w:cs="Arial"/>
          <w:sz w:val="18"/>
          <w:szCs w:val="18"/>
        </w:rPr>
        <w:t>8.</w:t>
      </w:r>
      <w:r w:rsidR="00DD0F00" w:rsidRPr="00AD2139">
        <w:rPr>
          <w:rFonts w:ascii="Arial" w:hAnsi="Arial" w:cs="Arial"/>
          <w:sz w:val="18"/>
          <w:szCs w:val="18"/>
        </w:rPr>
        <w:t xml:space="preserve"> </w:t>
      </w:r>
      <w:r w:rsidR="00432B4B" w:rsidRPr="00AD2139">
        <w:rPr>
          <w:rFonts w:ascii="Arial" w:hAnsi="Arial" w:cs="Arial"/>
          <w:sz w:val="18"/>
          <w:szCs w:val="18"/>
        </w:rPr>
        <w:tab/>
      </w:r>
      <w:r w:rsidR="00C53CF7" w:rsidRPr="00AD2139">
        <w:rPr>
          <w:rFonts w:ascii="Arial" w:hAnsi="Arial" w:cs="Arial"/>
          <w:sz w:val="18"/>
          <w:szCs w:val="18"/>
        </w:rPr>
        <w:t>Minh Duc Hoang, Quang Minh Do, Van Quang Le</w:t>
      </w:r>
      <w:r w:rsidR="00AD2139" w:rsidRPr="00AD2139">
        <w:rPr>
          <w:rFonts w:ascii="Arial" w:hAnsi="Arial" w:cs="Arial"/>
          <w:sz w:val="18"/>
          <w:szCs w:val="18"/>
        </w:rPr>
        <w:t xml:space="preserve"> (2020)</w:t>
      </w:r>
      <w:r w:rsidR="00C53CF7" w:rsidRPr="00AD2139">
        <w:rPr>
          <w:rFonts w:ascii="Arial" w:hAnsi="Arial" w:cs="Arial"/>
          <w:sz w:val="18"/>
          <w:szCs w:val="18"/>
        </w:rPr>
        <w:t xml:space="preserve">. Effect of curing regime on properties of red mud based alkali activated materials. </w:t>
      </w:r>
      <w:r w:rsidR="00C53CF7" w:rsidRPr="00AD2139">
        <w:rPr>
          <w:rFonts w:ascii="Arial" w:hAnsi="Arial" w:cs="Arial"/>
          <w:i/>
          <w:sz w:val="18"/>
          <w:szCs w:val="18"/>
        </w:rPr>
        <w:t>Construction and Building Materials, Vol. 259: p</w:t>
      </w:r>
      <w:r w:rsidR="00AD2139" w:rsidRPr="00AD2139">
        <w:rPr>
          <w:rFonts w:ascii="Arial" w:hAnsi="Arial" w:cs="Arial"/>
          <w:i/>
          <w:sz w:val="18"/>
          <w:szCs w:val="18"/>
        </w:rPr>
        <w:t>p</w:t>
      </w:r>
      <w:r w:rsidR="00C53CF7" w:rsidRPr="00AD2139">
        <w:rPr>
          <w:rFonts w:ascii="Arial" w:hAnsi="Arial" w:cs="Arial"/>
          <w:i/>
          <w:sz w:val="18"/>
          <w:szCs w:val="18"/>
        </w:rPr>
        <w:t xml:space="preserve">. 119779. </w:t>
      </w:r>
    </w:p>
    <w:p w:rsidR="00432B4B" w:rsidRPr="00AD2139" w:rsidRDefault="00DD0F00" w:rsidP="00AD2139">
      <w:pPr>
        <w:spacing w:before="0" w:after="60" w:line="280" w:lineRule="exact"/>
        <w:ind w:left="340" w:hanging="340"/>
        <w:jc w:val="both"/>
        <w:rPr>
          <w:rFonts w:ascii="Arial" w:hAnsi="Arial" w:cs="Arial"/>
          <w:i/>
          <w:sz w:val="18"/>
          <w:szCs w:val="18"/>
        </w:rPr>
      </w:pPr>
      <w:r w:rsidRPr="00AD2139">
        <w:rPr>
          <w:rFonts w:ascii="Arial" w:hAnsi="Arial" w:cs="Arial"/>
          <w:sz w:val="18"/>
          <w:szCs w:val="18"/>
        </w:rPr>
        <w:t xml:space="preserve">9. </w:t>
      </w:r>
      <w:r w:rsidR="00432B4B" w:rsidRPr="00AD2139">
        <w:rPr>
          <w:rFonts w:ascii="Arial" w:hAnsi="Arial" w:cs="Arial"/>
          <w:sz w:val="18"/>
          <w:szCs w:val="18"/>
        </w:rPr>
        <w:tab/>
      </w:r>
      <w:r w:rsidRPr="00AD2139">
        <w:rPr>
          <w:rFonts w:ascii="Arial" w:hAnsi="Arial" w:cs="Arial"/>
          <w:sz w:val="18"/>
          <w:szCs w:val="18"/>
        </w:rPr>
        <w:t xml:space="preserve">The basic properties of building materials, in Building materials in civil engineering, </w:t>
      </w:r>
      <w:r w:rsidRPr="00AD2139">
        <w:rPr>
          <w:rFonts w:ascii="Arial" w:hAnsi="Arial" w:cs="Arial"/>
          <w:i/>
          <w:sz w:val="18"/>
          <w:szCs w:val="18"/>
        </w:rPr>
        <w:t>Zhang H., Editor 2011, Woodhead Publishing. p</w:t>
      </w:r>
      <w:r w:rsidR="00AD2139" w:rsidRPr="00AD2139">
        <w:rPr>
          <w:rFonts w:ascii="Arial" w:hAnsi="Arial" w:cs="Arial"/>
          <w:i/>
          <w:sz w:val="18"/>
          <w:szCs w:val="18"/>
        </w:rPr>
        <w:t>p</w:t>
      </w:r>
      <w:r w:rsidRPr="00AD2139">
        <w:rPr>
          <w:rFonts w:ascii="Arial" w:hAnsi="Arial" w:cs="Arial"/>
          <w:i/>
          <w:sz w:val="18"/>
          <w:szCs w:val="18"/>
        </w:rPr>
        <w:t>.423</w:t>
      </w:r>
      <w:r w:rsidR="00432B4B" w:rsidRPr="00AD2139">
        <w:rPr>
          <w:rFonts w:ascii="Arial" w:hAnsi="Arial" w:cs="Arial"/>
          <w:i/>
          <w:sz w:val="18"/>
          <w:szCs w:val="18"/>
        </w:rPr>
        <w:t>.</w:t>
      </w:r>
    </w:p>
    <w:p w:rsidR="00432B4B" w:rsidRPr="00AD2139" w:rsidRDefault="00432B4B" w:rsidP="00AD2139">
      <w:pPr>
        <w:spacing w:before="0" w:after="60" w:line="280" w:lineRule="exact"/>
        <w:jc w:val="both"/>
        <w:rPr>
          <w:rFonts w:ascii="Arial" w:hAnsi="Arial" w:cs="Arial"/>
          <w:i/>
          <w:sz w:val="18"/>
          <w:szCs w:val="18"/>
        </w:rPr>
      </w:pPr>
      <w:r w:rsidRPr="00AD2139">
        <w:rPr>
          <w:rFonts w:ascii="Arial" w:hAnsi="Arial" w:cs="Arial"/>
          <w:b/>
          <w:i/>
          <w:sz w:val="18"/>
          <w:szCs w:val="18"/>
        </w:rPr>
        <w:t>Ngày nhận bài:</w:t>
      </w:r>
      <w:r w:rsidR="00AD2139" w:rsidRPr="00AD2139">
        <w:rPr>
          <w:rFonts w:ascii="Arial" w:hAnsi="Arial" w:cs="Arial"/>
          <w:b/>
          <w:i/>
          <w:sz w:val="18"/>
          <w:szCs w:val="18"/>
        </w:rPr>
        <w:t xml:space="preserve"> </w:t>
      </w:r>
      <w:r w:rsidR="00AD2139" w:rsidRPr="00AD2139">
        <w:rPr>
          <w:rFonts w:ascii="Arial" w:hAnsi="Arial" w:cs="Arial"/>
          <w:i/>
          <w:sz w:val="18"/>
          <w:szCs w:val="18"/>
        </w:rPr>
        <w:t>26/11/2020.</w:t>
      </w:r>
    </w:p>
    <w:p w:rsidR="00432B4B" w:rsidRPr="00AD2139" w:rsidRDefault="00432B4B" w:rsidP="00AD2139">
      <w:pPr>
        <w:spacing w:before="0" w:after="60" w:line="280" w:lineRule="exact"/>
        <w:jc w:val="both"/>
        <w:rPr>
          <w:rFonts w:ascii="Arial" w:hAnsi="Arial" w:cs="Arial"/>
          <w:i/>
          <w:sz w:val="18"/>
          <w:szCs w:val="18"/>
        </w:rPr>
      </w:pPr>
      <w:r w:rsidRPr="00AD2139">
        <w:rPr>
          <w:rFonts w:ascii="Arial" w:hAnsi="Arial" w:cs="Arial"/>
          <w:b/>
          <w:i/>
          <w:sz w:val="18"/>
          <w:szCs w:val="18"/>
        </w:rPr>
        <w:t>Ngày nhận bài sửa lần cuối:</w:t>
      </w:r>
      <w:r w:rsidR="00AD2139" w:rsidRPr="00AD2139">
        <w:rPr>
          <w:rFonts w:ascii="Arial" w:hAnsi="Arial" w:cs="Arial"/>
          <w:b/>
          <w:i/>
          <w:sz w:val="18"/>
          <w:szCs w:val="18"/>
        </w:rPr>
        <w:t xml:space="preserve"> </w:t>
      </w:r>
      <w:r w:rsidR="00AD2139" w:rsidRPr="00AD2139">
        <w:rPr>
          <w:rFonts w:ascii="Arial" w:hAnsi="Arial" w:cs="Arial"/>
          <w:i/>
          <w:sz w:val="18"/>
          <w:szCs w:val="18"/>
        </w:rPr>
        <w:t>30/11/2020.</w:t>
      </w:r>
    </w:p>
    <w:p w:rsidR="00432B4B" w:rsidRPr="00AD2139" w:rsidRDefault="00432B4B" w:rsidP="00AD2139">
      <w:pPr>
        <w:spacing w:before="0" w:after="60" w:line="280" w:lineRule="exact"/>
        <w:jc w:val="both"/>
        <w:rPr>
          <w:rFonts w:ascii="Arial" w:hAnsi="Arial" w:cs="Arial"/>
          <w:i/>
          <w:sz w:val="18"/>
          <w:szCs w:val="18"/>
        </w:rPr>
        <w:sectPr w:rsidR="00432B4B" w:rsidRPr="00AD2139" w:rsidSect="00432B4B">
          <w:type w:val="continuous"/>
          <w:pgSz w:w="11907" w:h="16840" w:code="9"/>
          <w:pgMar w:top="1134" w:right="851" w:bottom="1134" w:left="1418" w:header="720" w:footer="720" w:gutter="0"/>
          <w:cols w:num="2" w:space="340"/>
          <w:docGrid w:linePitch="360"/>
        </w:sectPr>
      </w:pPr>
    </w:p>
    <w:p w:rsidR="00C53CF7" w:rsidRPr="00AD2139" w:rsidRDefault="00C53CF7"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D2139" w:rsidRPr="00AD2139" w:rsidRDefault="00AD2139" w:rsidP="00A6535C">
      <w:pPr>
        <w:spacing w:before="0" w:line="240" w:lineRule="auto"/>
        <w:jc w:val="both"/>
        <w:rPr>
          <w:rFonts w:ascii="Arial" w:hAnsi="Arial" w:cs="Arial"/>
          <w:sz w:val="20"/>
          <w:szCs w:val="20"/>
        </w:rPr>
      </w:pPr>
    </w:p>
    <w:p w:rsidR="00AC7CC5" w:rsidRPr="00AD2139" w:rsidRDefault="00AC7CC5" w:rsidP="00A6535C">
      <w:pPr>
        <w:spacing w:before="0" w:line="240" w:lineRule="auto"/>
        <w:jc w:val="both"/>
        <w:rPr>
          <w:rFonts w:ascii="Arial" w:hAnsi="Arial" w:cs="Arial"/>
          <w:sz w:val="20"/>
          <w:szCs w:val="20"/>
        </w:rPr>
      </w:pPr>
    </w:p>
    <w:p w:rsidR="00A6535C" w:rsidRPr="00AD2139" w:rsidRDefault="00A6535C" w:rsidP="00A6535C">
      <w:pPr>
        <w:spacing w:before="0" w:line="240" w:lineRule="auto"/>
        <w:jc w:val="both"/>
        <w:rPr>
          <w:rFonts w:ascii="Arial" w:hAnsi="Arial" w:cs="Arial"/>
          <w:sz w:val="20"/>
          <w:szCs w:val="20"/>
        </w:rPr>
      </w:pPr>
    </w:p>
    <w:p w:rsidR="00B65F44" w:rsidRPr="00B65F44" w:rsidRDefault="00B65F44" w:rsidP="00B65F44">
      <w:pPr>
        <w:spacing w:before="0" w:line="240" w:lineRule="auto"/>
        <w:jc w:val="center"/>
        <w:rPr>
          <w:rFonts w:ascii="Arial" w:eastAsia="Times New Roman" w:hAnsi="Arial" w:cs="Arial"/>
          <w:sz w:val="20"/>
          <w:szCs w:val="20"/>
        </w:rPr>
      </w:pPr>
      <w:r>
        <w:rPr>
          <w:rFonts w:ascii="Arial" w:eastAsia="Times New Roman" w:hAnsi="Arial" w:cs="Arial"/>
          <w:sz w:val="20"/>
          <w:szCs w:val="20"/>
        </w:rPr>
        <w:t>R</w:t>
      </w:r>
      <w:r w:rsidRPr="00B65F44">
        <w:rPr>
          <w:rFonts w:ascii="Arial" w:eastAsia="Times New Roman" w:hAnsi="Arial" w:cs="Arial"/>
          <w:sz w:val="20"/>
          <w:szCs w:val="20"/>
        </w:rPr>
        <w:t>esearch on production and properties of non-fired geopolymer bricks using red mud</w:t>
      </w:r>
    </w:p>
    <w:p w:rsidR="00A6535C" w:rsidRPr="00AD2139" w:rsidRDefault="00A6535C" w:rsidP="00A6535C">
      <w:pPr>
        <w:spacing w:before="0" w:line="240" w:lineRule="auto"/>
        <w:jc w:val="both"/>
        <w:rPr>
          <w:rFonts w:ascii="Arial" w:hAnsi="Arial" w:cs="Arial"/>
          <w:sz w:val="20"/>
          <w:szCs w:val="20"/>
        </w:rPr>
      </w:pPr>
    </w:p>
    <w:sectPr w:rsidR="00A6535C" w:rsidRPr="00AD2139" w:rsidSect="00B577B2">
      <w:type w:val="continuous"/>
      <w:pgSz w:w="11907" w:h="16840" w:code="9"/>
      <w:pgMar w:top="1134" w:right="851" w:bottom="1134"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3D1" w:rsidRDefault="005043D1" w:rsidP="0050151B">
      <w:pPr>
        <w:spacing w:before="0" w:line="240" w:lineRule="auto"/>
      </w:pPr>
      <w:r>
        <w:separator/>
      </w:r>
    </w:p>
  </w:endnote>
  <w:endnote w:type="continuationSeparator" w:id="0">
    <w:p w:rsidR="005043D1" w:rsidRDefault="005043D1" w:rsidP="0050151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643740443"/>
      <w:docPartObj>
        <w:docPartGallery w:val="Page Numbers (Bottom of Page)"/>
        <w:docPartUnique/>
      </w:docPartObj>
    </w:sdtPr>
    <w:sdtEndPr>
      <w:rPr>
        <w:noProof/>
      </w:rPr>
    </w:sdtEndPr>
    <w:sdtContent>
      <w:p w:rsidR="0050151B" w:rsidRPr="006825C0" w:rsidRDefault="006825C0" w:rsidP="006825C0">
        <w:pPr>
          <w:pStyle w:val="Footer"/>
          <w:spacing w:before="120"/>
          <w:rPr>
            <w:rFonts w:ascii="Arial" w:hAnsi="Arial" w:cs="Arial"/>
            <w:i/>
          </w:rPr>
        </w:pPr>
        <w:r w:rsidRPr="006825C0">
          <w:rPr>
            <w:rFonts w:ascii="Arial" w:hAnsi="Arial" w:cs="Arial"/>
          </w:rPr>
          <w:fldChar w:fldCharType="begin"/>
        </w:r>
        <w:r w:rsidRPr="006825C0">
          <w:rPr>
            <w:rFonts w:ascii="Arial" w:hAnsi="Arial" w:cs="Arial"/>
          </w:rPr>
          <w:instrText xml:space="preserve"> PAGE   \* MERGEFORMAT </w:instrText>
        </w:r>
        <w:r w:rsidRPr="006825C0">
          <w:rPr>
            <w:rFonts w:ascii="Arial" w:hAnsi="Arial" w:cs="Arial"/>
          </w:rPr>
          <w:fldChar w:fldCharType="separate"/>
        </w:r>
        <w:r w:rsidR="00DE5FB8">
          <w:rPr>
            <w:rFonts w:ascii="Arial" w:hAnsi="Arial" w:cs="Arial"/>
            <w:noProof/>
          </w:rPr>
          <w:t>44</w:t>
        </w:r>
        <w:r w:rsidRPr="006825C0">
          <w:rPr>
            <w:rFonts w:ascii="Arial" w:hAnsi="Arial" w:cs="Arial"/>
            <w:noProof/>
          </w:rPr>
          <w:fldChar w:fldCharType="end"/>
        </w:r>
        <w:r w:rsidRPr="006825C0">
          <w:rPr>
            <w:rFonts w:ascii="Arial" w:hAnsi="Arial" w:cs="Arial"/>
            <w:i/>
          </w:rPr>
          <w:t xml:space="preserve"> </w:t>
        </w:r>
        <w:r>
          <w:rPr>
            <w:rFonts w:ascii="Arial" w:hAnsi="Arial" w:cs="Arial"/>
            <w:i/>
          </w:rPr>
          <w:t xml:space="preserve">                                                                                             </w:t>
        </w:r>
        <w:r w:rsidRPr="006825C0">
          <w:rPr>
            <w:rFonts w:ascii="Arial" w:hAnsi="Arial" w:cs="Arial"/>
            <w:i/>
          </w:rPr>
          <w:t>Tạp chí KHCN Xây dựng - số 4/2020</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085017051"/>
      <w:docPartObj>
        <w:docPartGallery w:val="Page Numbers (Bottom of Page)"/>
        <w:docPartUnique/>
      </w:docPartObj>
    </w:sdtPr>
    <w:sdtEndPr>
      <w:rPr>
        <w:noProof/>
      </w:rPr>
    </w:sdtEndPr>
    <w:sdtContent>
      <w:p w:rsidR="0050151B" w:rsidRPr="006825C0" w:rsidRDefault="006825C0" w:rsidP="006825C0">
        <w:pPr>
          <w:pStyle w:val="Footer"/>
          <w:spacing w:before="120"/>
          <w:rPr>
            <w:rFonts w:ascii="Arial" w:hAnsi="Arial" w:cs="Arial"/>
          </w:rPr>
        </w:pPr>
        <w:r w:rsidRPr="006825C0">
          <w:rPr>
            <w:rFonts w:ascii="Arial" w:hAnsi="Arial" w:cs="Arial"/>
            <w:i/>
          </w:rPr>
          <w:t>Tạp chí KHCN Xây dựng - số 4/2020</w:t>
        </w:r>
        <w:r w:rsidRPr="006825C0">
          <w:rPr>
            <w:rFonts w:ascii="Arial" w:hAnsi="Arial" w:cs="Arial"/>
            <w:i/>
          </w:rPr>
          <w:t xml:space="preserve">                                                                                              </w:t>
        </w:r>
        <w:r w:rsidRPr="006825C0">
          <w:rPr>
            <w:rFonts w:ascii="Arial" w:hAnsi="Arial" w:cs="Arial"/>
          </w:rPr>
          <w:fldChar w:fldCharType="begin"/>
        </w:r>
        <w:r w:rsidRPr="006825C0">
          <w:rPr>
            <w:rFonts w:ascii="Arial" w:hAnsi="Arial" w:cs="Arial"/>
          </w:rPr>
          <w:instrText xml:space="preserve"> PAGE   \* MERGEFORMAT </w:instrText>
        </w:r>
        <w:r w:rsidRPr="006825C0">
          <w:rPr>
            <w:rFonts w:ascii="Arial" w:hAnsi="Arial" w:cs="Arial"/>
          </w:rPr>
          <w:fldChar w:fldCharType="separate"/>
        </w:r>
        <w:r w:rsidR="00DE5FB8">
          <w:rPr>
            <w:rFonts w:ascii="Arial" w:hAnsi="Arial" w:cs="Arial"/>
            <w:noProof/>
          </w:rPr>
          <w:t>45</w:t>
        </w:r>
        <w:r w:rsidRPr="006825C0">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3D1" w:rsidRDefault="005043D1" w:rsidP="0050151B">
      <w:pPr>
        <w:spacing w:before="0" w:line="240" w:lineRule="auto"/>
      </w:pPr>
      <w:r>
        <w:separator/>
      </w:r>
    </w:p>
  </w:footnote>
  <w:footnote w:type="continuationSeparator" w:id="0">
    <w:p w:rsidR="005043D1" w:rsidRDefault="005043D1" w:rsidP="0050151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51B" w:rsidRPr="0050151B" w:rsidRDefault="0050151B" w:rsidP="0050151B">
    <w:pPr>
      <w:pStyle w:val="Header"/>
      <w:pBdr>
        <w:bottom w:val="single" w:sz="4" w:space="1" w:color="auto"/>
      </w:pBdr>
      <w:rPr>
        <w:rFonts w:ascii="Arial" w:hAnsi="Arial" w:cs="Arial"/>
        <w:b/>
        <w:sz w:val="24"/>
        <w:szCs w:val="24"/>
      </w:rPr>
    </w:pPr>
    <w:r w:rsidRPr="0050151B">
      <w:rPr>
        <w:rFonts w:ascii="Arial" w:hAnsi="Arial" w:cs="Arial"/>
        <w:b/>
        <w:sz w:val="24"/>
        <w:szCs w:val="24"/>
      </w:rPr>
      <w:t>VẬT LIỆU XÂY DỰ</w:t>
    </w:r>
    <w:r w:rsidR="00DE5FB8">
      <w:rPr>
        <w:rFonts w:ascii="Arial" w:hAnsi="Arial" w:cs="Arial"/>
        <w:b/>
        <w:sz w:val="24"/>
        <w:szCs w:val="24"/>
      </w:rPr>
      <w:t>NG -</w:t>
    </w:r>
    <w:r w:rsidRPr="0050151B">
      <w:rPr>
        <w:rFonts w:ascii="Arial" w:hAnsi="Arial" w:cs="Arial"/>
        <w:b/>
        <w:sz w:val="24"/>
        <w:szCs w:val="24"/>
      </w:rPr>
      <w:t xml:space="preserve"> MÔI TRƯỜNG</w:t>
    </w:r>
  </w:p>
  <w:p w:rsidR="0050151B" w:rsidRPr="0050151B" w:rsidRDefault="0050151B">
    <w:pPr>
      <w:pStyle w:val="Header"/>
      <w:rPr>
        <w:rFonts w:ascii="Arial" w:hAnsi="Arial"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51B" w:rsidRPr="0050151B" w:rsidRDefault="0050151B" w:rsidP="0050151B">
    <w:pPr>
      <w:pStyle w:val="Header"/>
      <w:pBdr>
        <w:bottom w:val="single" w:sz="4" w:space="1" w:color="auto"/>
      </w:pBdr>
      <w:rPr>
        <w:rFonts w:ascii="Arial" w:hAnsi="Arial" w:cs="Arial"/>
        <w:b/>
        <w:sz w:val="24"/>
        <w:szCs w:val="24"/>
      </w:rPr>
    </w:pPr>
    <w:r w:rsidRPr="0050151B">
      <w:rPr>
        <w:rFonts w:ascii="Arial" w:hAnsi="Arial" w:cs="Arial"/>
        <w:b/>
        <w:sz w:val="24"/>
        <w:szCs w:val="24"/>
      </w:rPr>
      <w:t xml:space="preserve">VẬT LIỆU XÂY DỰNG </w:t>
    </w:r>
    <w:r>
      <w:rPr>
        <w:rFonts w:ascii="Arial" w:hAnsi="Arial" w:cs="Arial"/>
        <w:b/>
        <w:sz w:val="24"/>
        <w:szCs w:val="24"/>
      </w:rPr>
      <w:t>-</w:t>
    </w:r>
    <w:r w:rsidRPr="0050151B">
      <w:rPr>
        <w:rFonts w:ascii="Arial" w:hAnsi="Arial" w:cs="Arial"/>
        <w:b/>
        <w:sz w:val="24"/>
        <w:szCs w:val="24"/>
      </w:rPr>
      <w:t xml:space="preserve"> MÔI TRƯỜNG</w:t>
    </w:r>
  </w:p>
  <w:p w:rsidR="0050151B" w:rsidRPr="0050151B" w:rsidRDefault="0050151B">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A60A1"/>
    <w:multiLevelType w:val="hybridMultilevel"/>
    <w:tmpl w:val="027E1014"/>
    <w:lvl w:ilvl="0" w:tplc="8F46EB5A">
      <w:start w:val="2"/>
      <w:numFmt w:val="bullet"/>
      <w:lvlText w:val="-"/>
      <w:lvlJc w:val="left"/>
      <w:pPr>
        <w:ind w:left="1440" w:hanging="360"/>
      </w:pPr>
      <w:rPr>
        <w:rFonts w:ascii="Times New Roman" w:eastAsiaTheme="minorHAnsi" w:hAnsi="Times New Roman" w:cs="Times New Roman" w:hint="default"/>
      </w:rPr>
    </w:lvl>
    <w:lvl w:ilvl="1" w:tplc="8F46EB5A">
      <w:start w:val="2"/>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hideSpellingErrors/>
  <w:proofState w:grammar="clean"/>
  <w:defaultTabStop w:val="34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761A12"/>
    <w:rsid w:val="00002931"/>
    <w:rsid w:val="00033540"/>
    <w:rsid w:val="000452CE"/>
    <w:rsid w:val="00045AC1"/>
    <w:rsid w:val="00053754"/>
    <w:rsid w:val="000A78E7"/>
    <w:rsid w:val="000B3673"/>
    <w:rsid w:val="000D347D"/>
    <w:rsid w:val="000F394A"/>
    <w:rsid w:val="000F652B"/>
    <w:rsid w:val="00100C5E"/>
    <w:rsid w:val="0011122A"/>
    <w:rsid w:val="001253FF"/>
    <w:rsid w:val="001515ED"/>
    <w:rsid w:val="001949E4"/>
    <w:rsid w:val="001E3D3F"/>
    <w:rsid w:val="00206BB7"/>
    <w:rsid w:val="00207B2A"/>
    <w:rsid w:val="002C07F7"/>
    <w:rsid w:val="003378F2"/>
    <w:rsid w:val="00356791"/>
    <w:rsid w:val="003642DB"/>
    <w:rsid w:val="003864A4"/>
    <w:rsid w:val="003D63B7"/>
    <w:rsid w:val="00414C84"/>
    <w:rsid w:val="00432B4B"/>
    <w:rsid w:val="00471830"/>
    <w:rsid w:val="004B0CE4"/>
    <w:rsid w:val="004C6E56"/>
    <w:rsid w:val="004D032D"/>
    <w:rsid w:val="0050151B"/>
    <w:rsid w:val="005043D1"/>
    <w:rsid w:val="005611F6"/>
    <w:rsid w:val="005C15D6"/>
    <w:rsid w:val="005F5C35"/>
    <w:rsid w:val="00605EDA"/>
    <w:rsid w:val="00633DB4"/>
    <w:rsid w:val="0064110B"/>
    <w:rsid w:val="0066774A"/>
    <w:rsid w:val="0066787F"/>
    <w:rsid w:val="006765A2"/>
    <w:rsid w:val="006825C0"/>
    <w:rsid w:val="0068577C"/>
    <w:rsid w:val="006901EA"/>
    <w:rsid w:val="006B74EA"/>
    <w:rsid w:val="006C528B"/>
    <w:rsid w:val="006F680B"/>
    <w:rsid w:val="00742F16"/>
    <w:rsid w:val="00761A12"/>
    <w:rsid w:val="0079700B"/>
    <w:rsid w:val="007C2DDD"/>
    <w:rsid w:val="00806DAD"/>
    <w:rsid w:val="00815758"/>
    <w:rsid w:val="00837FE3"/>
    <w:rsid w:val="008524BA"/>
    <w:rsid w:val="00854EB8"/>
    <w:rsid w:val="00891968"/>
    <w:rsid w:val="008E280F"/>
    <w:rsid w:val="00913432"/>
    <w:rsid w:val="00961D3F"/>
    <w:rsid w:val="00991ABB"/>
    <w:rsid w:val="00993AAC"/>
    <w:rsid w:val="009B0DBF"/>
    <w:rsid w:val="009F1794"/>
    <w:rsid w:val="009F59BF"/>
    <w:rsid w:val="00A34177"/>
    <w:rsid w:val="00A6535C"/>
    <w:rsid w:val="00A72252"/>
    <w:rsid w:val="00A7261E"/>
    <w:rsid w:val="00AA656B"/>
    <w:rsid w:val="00AC7CC5"/>
    <w:rsid w:val="00AD2139"/>
    <w:rsid w:val="00AD2A34"/>
    <w:rsid w:val="00B274A5"/>
    <w:rsid w:val="00B32BE9"/>
    <w:rsid w:val="00B46B48"/>
    <w:rsid w:val="00B577B2"/>
    <w:rsid w:val="00B60602"/>
    <w:rsid w:val="00B62A0B"/>
    <w:rsid w:val="00B65F44"/>
    <w:rsid w:val="00BB33CA"/>
    <w:rsid w:val="00BE5352"/>
    <w:rsid w:val="00BF4241"/>
    <w:rsid w:val="00C53CF7"/>
    <w:rsid w:val="00CF3DFE"/>
    <w:rsid w:val="00D25841"/>
    <w:rsid w:val="00D5166D"/>
    <w:rsid w:val="00D522AF"/>
    <w:rsid w:val="00D714F8"/>
    <w:rsid w:val="00DB62CC"/>
    <w:rsid w:val="00DD0373"/>
    <w:rsid w:val="00DD0F00"/>
    <w:rsid w:val="00DE5FB8"/>
    <w:rsid w:val="00DF46A9"/>
    <w:rsid w:val="00E83AEC"/>
    <w:rsid w:val="00E864EB"/>
    <w:rsid w:val="00E936D0"/>
    <w:rsid w:val="00EB4748"/>
    <w:rsid w:val="00EB4BCF"/>
    <w:rsid w:val="00F640C3"/>
    <w:rsid w:val="00F84083"/>
    <w:rsid w:val="00FC44A7"/>
    <w:rsid w:val="00FF0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75C5FB-1867-4D36-B98B-F3845195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80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80F"/>
    <w:rPr>
      <w:rFonts w:ascii="Tahoma" w:hAnsi="Tahoma" w:cs="Tahoma"/>
      <w:sz w:val="16"/>
      <w:szCs w:val="16"/>
    </w:rPr>
  </w:style>
  <w:style w:type="table" w:styleId="TableGrid">
    <w:name w:val="Table Grid"/>
    <w:basedOn w:val="TableNormal"/>
    <w:uiPriority w:val="59"/>
    <w:rsid w:val="00002931"/>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53CF7"/>
    <w:pPr>
      <w:spacing w:before="0" w:after="200" w:line="276" w:lineRule="auto"/>
      <w:ind w:left="720"/>
      <w:contextualSpacing/>
      <w:jc w:val="center"/>
    </w:pPr>
  </w:style>
  <w:style w:type="character" w:styleId="Emphasis">
    <w:name w:val="Emphasis"/>
    <w:basedOn w:val="DefaultParagraphFont"/>
    <w:uiPriority w:val="20"/>
    <w:qFormat/>
    <w:rsid w:val="00C53CF7"/>
    <w:rPr>
      <w:i/>
      <w:iCs/>
    </w:rPr>
  </w:style>
  <w:style w:type="character" w:styleId="Strong">
    <w:name w:val="Strong"/>
    <w:basedOn w:val="DefaultParagraphFont"/>
    <w:uiPriority w:val="22"/>
    <w:qFormat/>
    <w:rsid w:val="00C53CF7"/>
    <w:rPr>
      <w:b/>
      <w:bCs/>
    </w:rPr>
  </w:style>
  <w:style w:type="character" w:customStyle="1" w:styleId="ff1">
    <w:name w:val="ff1"/>
    <w:basedOn w:val="DefaultParagraphFont"/>
    <w:rsid w:val="001E3D3F"/>
  </w:style>
  <w:style w:type="character" w:customStyle="1" w:styleId="ls9">
    <w:name w:val="ls9"/>
    <w:basedOn w:val="DefaultParagraphFont"/>
    <w:rsid w:val="001E3D3F"/>
  </w:style>
  <w:style w:type="character" w:customStyle="1" w:styleId="lsd">
    <w:name w:val="lsd"/>
    <w:basedOn w:val="DefaultParagraphFont"/>
    <w:rsid w:val="001E3D3F"/>
  </w:style>
  <w:style w:type="character" w:customStyle="1" w:styleId="ff7">
    <w:name w:val="ff7"/>
    <w:basedOn w:val="DefaultParagraphFont"/>
    <w:rsid w:val="001E3D3F"/>
  </w:style>
  <w:style w:type="character" w:customStyle="1" w:styleId="ff6">
    <w:name w:val="ff6"/>
    <w:basedOn w:val="DefaultParagraphFont"/>
    <w:rsid w:val="001E3D3F"/>
  </w:style>
  <w:style w:type="character" w:customStyle="1" w:styleId="lsa">
    <w:name w:val="lsa"/>
    <w:basedOn w:val="DefaultParagraphFont"/>
    <w:rsid w:val="001E3D3F"/>
  </w:style>
  <w:style w:type="character" w:customStyle="1" w:styleId="lsc">
    <w:name w:val="lsc"/>
    <w:basedOn w:val="DefaultParagraphFont"/>
    <w:rsid w:val="001E3D3F"/>
  </w:style>
  <w:style w:type="character" w:customStyle="1" w:styleId="ls0">
    <w:name w:val="ls0"/>
    <w:basedOn w:val="DefaultParagraphFont"/>
    <w:rsid w:val="001E3D3F"/>
  </w:style>
  <w:style w:type="character" w:customStyle="1" w:styleId="ff2">
    <w:name w:val="ff2"/>
    <w:basedOn w:val="DefaultParagraphFont"/>
    <w:rsid w:val="001E3D3F"/>
  </w:style>
  <w:style w:type="paragraph" w:styleId="HTMLPreformatted">
    <w:name w:val="HTML Preformatted"/>
    <w:basedOn w:val="Normal"/>
    <w:link w:val="HTMLPreformattedChar"/>
    <w:uiPriority w:val="99"/>
    <w:semiHidden/>
    <w:unhideWhenUsed/>
    <w:rsid w:val="00337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378F2"/>
    <w:rPr>
      <w:rFonts w:ascii="Courier New" w:eastAsia="Times New Roman" w:hAnsi="Courier New" w:cs="Courier New"/>
      <w:sz w:val="20"/>
      <w:szCs w:val="20"/>
    </w:rPr>
  </w:style>
  <w:style w:type="character" w:customStyle="1" w:styleId="hgkelc">
    <w:name w:val="hgkelc"/>
    <w:basedOn w:val="DefaultParagraphFont"/>
    <w:rsid w:val="00D522AF"/>
  </w:style>
  <w:style w:type="paragraph" w:styleId="Header">
    <w:name w:val="header"/>
    <w:basedOn w:val="Normal"/>
    <w:link w:val="HeaderChar"/>
    <w:uiPriority w:val="99"/>
    <w:unhideWhenUsed/>
    <w:rsid w:val="0050151B"/>
    <w:pPr>
      <w:tabs>
        <w:tab w:val="center" w:pos="4680"/>
        <w:tab w:val="right" w:pos="9360"/>
      </w:tabs>
      <w:spacing w:before="0" w:line="240" w:lineRule="auto"/>
    </w:pPr>
  </w:style>
  <w:style w:type="character" w:customStyle="1" w:styleId="HeaderChar">
    <w:name w:val="Header Char"/>
    <w:basedOn w:val="DefaultParagraphFont"/>
    <w:link w:val="Header"/>
    <w:uiPriority w:val="99"/>
    <w:rsid w:val="0050151B"/>
  </w:style>
  <w:style w:type="paragraph" w:styleId="Footer">
    <w:name w:val="footer"/>
    <w:basedOn w:val="Normal"/>
    <w:link w:val="FooterChar"/>
    <w:uiPriority w:val="99"/>
    <w:unhideWhenUsed/>
    <w:rsid w:val="0050151B"/>
    <w:pPr>
      <w:tabs>
        <w:tab w:val="center" w:pos="4680"/>
        <w:tab w:val="right" w:pos="9360"/>
      </w:tabs>
      <w:spacing w:before="0" w:line="240" w:lineRule="auto"/>
    </w:pPr>
  </w:style>
  <w:style w:type="character" w:customStyle="1" w:styleId="FooterChar">
    <w:name w:val="Footer Char"/>
    <w:basedOn w:val="DefaultParagraphFont"/>
    <w:link w:val="Footer"/>
    <w:uiPriority w:val="99"/>
    <w:rsid w:val="00501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4970">
      <w:bodyDiv w:val="1"/>
      <w:marLeft w:val="0"/>
      <w:marRight w:val="0"/>
      <w:marTop w:val="0"/>
      <w:marBottom w:val="0"/>
      <w:divBdr>
        <w:top w:val="none" w:sz="0" w:space="0" w:color="auto"/>
        <w:left w:val="none" w:sz="0" w:space="0" w:color="auto"/>
        <w:bottom w:val="none" w:sz="0" w:space="0" w:color="auto"/>
        <w:right w:val="none" w:sz="0" w:space="0" w:color="auto"/>
      </w:divBdr>
      <w:divsChild>
        <w:div w:id="1901675632">
          <w:marLeft w:val="0"/>
          <w:marRight w:val="0"/>
          <w:marTop w:val="0"/>
          <w:marBottom w:val="0"/>
          <w:divBdr>
            <w:top w:val="none" w:sz="0" w:space="0" w:color="auto"/>
            <w:left w:val="none" w:sz="0" w:space="0" w:color="auto"/>
            <w:bottom w:val="none" w:sz="0" w:space="0" w:color="auto"/>
            <w:right w:val="none" w:sz="0" w:space="0" w:color="auto"/>
          </w:divBdr>
        </w:div>
        <w:div w:id="609239325">
          <w:marLeft w:val="0"/>
          <w:marRight w:val="0"/>
          <w:marTop w:val="0"/>
          <w:marBottom w:val="0"/>
          <w:divBdr>
            <w:top w:val="none" w:sz="0" w:space="0" w:color="auto"/>
            <w:left w:val="none" w:sz="0" w:space="0" w:color="auto"/>
            <w:bottom w:val="none" w:sz="0" w:space="0" w:color="auto"/>
            <w:right w:val="none" w:sz="0" w:space="0" w:color="auto"/>
          </w:divBdr>
        </w:div>
      </w:divsChild>
    </w:div>
    <w:div w:id="163470341">
      <w:bodyDiv w:val="1"/>
      <w:marLeft w:val="0"/>
      <w:marRight w:val="0"/>
      <w:marTop w:val="0"/>
      <w:marBottom w:val="0"/>
      <w:divBdr>
        <w:top w:val="none" w:sz="0" w:space="0" w:color="auto"/>
        <w:left w:val="none" w:sz="0" w:space="0" w:color="auto"/>
        <w:bottom w:val="none" w:sz="0" w:space="0" w:color="auto"/>
        <w:right w:val="none" w:sz="0" w:space="0" w:color="auto"/>
      </w:divBdr>
    </w:div>
    <w:div w:id="444270426">
      <w:bodyDiv w:val="1"/>
      <w:marLeft w:val="0"/>
      <w:marRight w:val="0"/>
      <w:marTop w:val="0"/>
      <w:marBottom w:val="0"/>
      <w:divBdr>
        <w:top w:val="none" w:sz="0" w:space="0" w:color="auto"/>
        <w:left w:val="none" w:sz="0" w:space="0" w:color="auto"/>
        <w:bottom w:val="none" w:sz="0" w:space="0" w:color="auto"/>
        <w:right w:val="none" w:sz="0" w:space="0" w:color="auto"/>
      </w:divBdr>
    </w:div>
    <w:div w:id="103693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1%20Downdload\KQ%20thi%20nghiem%20v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20794590960774009"/>
          <c:y val="5.1676001199159376E-2"/>
          <c:w val="0.71340585223076058"/>
          <c:h val="0.64502441874419814"/>
        </c:manualLayout>
      </c:layout>
      <c:scatterChart>
        <c:scatterStyle val="lineMarker"/>
        <c:varyColors val="0"/>
        <c:ser>
          <c:idx val="0"/>
          <c:order val="0"/>
          <c:tx>
            <c:v>Chưng áp</c:v>
          </c:tx>
          <c:spPr>
            <a:ln w="19050">
              <a:noFill/>
            </a:ln>
          </c:spPr>
          <c:trendline>
            <c:trendlineType val="linear"/>
            <c:dispRSqr val="1"/>
            <c:dispEq val="1"/>
            <c:trendlineLbl>
              <c:layout>
                <c:manualLayout>
                  <c:x val="-0.14782678459287033"/>
                  <c:y val="-1.4440488782068954E-2"/>
                </c:manualLayout>
              </c:layout>
              <c:numFmt formatCode="General" sourceLinked="0"/>
            </c:trendlineLbl>
          </c:trendline>
          <c:xVal>
            <c:numRef>
              <c:f>Old!$T$50:$T$65</c:f>
              <c:numCache>
                <c:formatCode>#.#00</c:formatCode>
                <c:ptCount val="16"/>
                <c:pt idx="0">
                  <c:v>13.376000000000023</c:v>
                </c:pt>
                <c:pt idx="1">
                  <c:v>44.879999999999995</c:v>
                </c:pt>
                <c:pt idx="2">
                  <c:v>63.18</c:v>
                </c:pt>
                <c:pt idx="3">
                  <c:v>66.898072799999696</c:v>
                </c:pt>
                <c:pt idx="4">
                  <c:v>50.543999999999983</c:v>
                </c:pt>
                <c:pt idx="5">
                  <c:v>57.914999999999992</c:v>
                </c:pt>
                <c:pt idx="6">
                  <c:v>64.935000000000002</c:v>
                </c:pt>
                <c:pt idx="7">
                  <c:v>76.124999999999986</c:v>
                </c:pt>
                <c:pt idx="8">
                  <c:v>55.130453089494154</c:v>
                </c:pt>
                <c:pt idx="9">
                  <c:v>69.005619455252926</c:v>
                </c:pt>
                <c:pt idx="10">
                  <c:v>84.397923898832858</c:v>
                </c:pt>
                <c:pt idx="11">
                  <c:v>100.52258754863794</c:v>
                </c:pt>
                <c:pt idx="12">
                  <c:v>72.756077299610851</c:v>
                </c:pt>
                <c:pt idx="13">
                  <c:v>79.682538910505443</c:v>
                </c:pt>
                <c:pt idx="14">
                  <c:v>91.416011673151715</c:v>
                </c:pt>
                <c:pt idx="15">
                  <c:v>122.24124513618671</c:v>
                </c:pt>
              </c:numCache>
            </c:numRef>
          </c:xVal>
          <c:yVal>
            <c:numRef>
              <c:f>Old!$O$50:$O$65</c:f>
              <c:numCache>
                <c:formatCode>##,#00</c:formatCode>
                <c:ptCount val="16"/>
                <c:pt idx="0">
                  <c:v>7.3599999999999985</c:v>
                </c:pt>
                <c:pt idx="1">
                  <c:v>10.61</c:v>
                </c:pt>
                <c:pt idx="2">
                  <c:v>12.68</c:v>
                </c:pt>
                <c:pt idx="3">
                  <c:v>14.16</c:v>
                </c:pt>
                <c:pt idx="4">
                  <c:v>11.04</c:v>
                </c:pt>
                <c:pt idx="5">
                  <c:v>11.98</c:v>
                </c:pt>
                <c:pt idx="6">
                  <c:v>13.88</c:v>
                </c:pt>
                <c:pt idx="7">
                  <c:v>15.28</c:v>
                </c:pt>
                <c:pt idx="8">
                  <c:v>11.26</c:v>
                </c:pt>
                <c:pt idx="9">
                  <c:v>14.65</c:v>
                </c:pt>
                <c:pt idx="10">
                  <c:v>17.36</c:v>
                </c:pt>
                <c:pt idx="11">
                  <c:v>19.079999999999988</c:v>
                </c:pt>
                <c:pt idx="12">
                  <c:v>15.17</c:v>
                </c:pt>
                <c:pt idx="13">
                  <c:v>16.86</c:v>
                </c:pt>
                <c:pt idx="14">
                  <c:v>18.66</c:v>
                </c:pt>
                <c:pt idx="15">
                  <c:v>20.059999999999999</c:v>
                </c:pt>
              </c:numCache>
            </c:numRef>
          </c:yVal>
          <c:smooth val="0"/>
        </c:ser>
        <c:ser>
          <c:idx val="1"/>
          <c:order val="1"/>
          <c:tx>
            <c:v>Gia nhiệt</c:v>
          </c:tx>
          <c:spPr>
            <a:ln w="19050">
              <a:noFill/>
            </a:ln>
          </c:spPr>
          <c:marker>
            <c:symbol val="triangle"/>
            <c:size val="5"/>
            <c:spPr>
              <a:solidFill>
                <a:schemeClr val="tx1"/>
              </a:solidFill>
            </c:spPr>
          </c:marker>
          <c:trendline>
            <c:trendlineType val="linear"/>
            <c:dispRSqr val="1"/>
            <c:dispEq val="1"/>
            <c:trendlineLbl>
              <c:layout>
                <c:manualLayout>
                  <c:x val="0.31595268197272985"/>
                  <c:y val="9.5742544284971851E-2"/>
                </c:manualLayout>
              </c:layout>
              <c:numFmt formatCode="General" sourceLinked="0"/>
            </c:trendlineLbl>
          </c:trendline>
          <c:xVal>
            <c:numRef>
              <c:f>Old!$T$38:$T$45</c:f>
              <c:numCache>
                <c:formatCode>#.#00</c:formatCode>
                <c:ptCount val="8"/>
                <c:pt idx="0">
                  <c:v>4.9279999999999955</c:v>
                </c:pt>
                <c:pt idx="1">
                  <c:v>6.5119999999999987</c:v>
                </c:pt>
                <c:pt idx="2">
                  <c:v>8.0960000000000001</c:v>
                </c:pt>
                <c:pt idx="3">
                  <c:v>10.207999999999998</c:v>
                </c:pt>
                <c:pt idx="4">
                  <c:v>14.927918287937738</c:v>
                </c:pt>
                <c:pt idx="5">
                  <c:v>16.859766536964912</c:v>
                </c:pt>
                <c:pt idx="6">
                  <c:v>18.967237354085587</c:v>
                </c:pt>
                <c:pt idx="7">
                  <c:v>20.196595330739289</c:v>
                </c:pt>
              </c:numCache>
            </c:numRef>
          </c:xVal>
          <c:yVal>
            <c:numRef>
              <c:f>Old!$O$38:$O$45</c:f>
              <c:numCache>
                <c:formatCode>##,#00</c:formatCode>
                <c:ptCount val="8"/>
                <c:pt idx="0">
                  <c:v>6.1099999999999985</c:v>
                </c:pt>
                <c:pt idx="1">
                  <c:v>6.22</c:v>
                </c:pt>
                <c:pt idx="2">
                  <c:v>6.38</c:v>
                </c:pt>
                <c:pt idx="3">
                  <c:v>6.85</c:v>
                </c:pt>
                <c:pt idx="4">
                  <c:v>8.9600000000000026</c:v>
                </c:pt>
                <c:pt idx="5">
                  <c:v>9.34</c:v>
                </c:pt>
                <c:pt idx="6">
                  <c:v>9.59</c:v>
                </c:pt>
                <c:pt idx="7">
                  <c:v>9.56</c:v>
                </c:pt>
              </c:numCache>
            </c:numRef>
          </c:yVal>
          <c:smooth val="0"/>
        </c:ser>
        <c:dLbls>
          <c:showLegendKey val="0"/>
          <c:showVal val="0"/>
          <c:showCatName val="0"/>
          <c:showSerName val="0"/>
          <c:showPercent val="0"/>
          <c:showBubbleSize val="0"/>
        </c:dLbls>
        <c:axId val="145210480"/>
        <c:axId val="145211568"/>
      </c:scatterChart>
      <c:valAx>
        <c:axId val="145210480"/>
        <c:scaling>
          <c:orientation val="minMax"/>
        </c:scaling>
        <c:delete val="0"/>
        <c:axPos val="b"/>
        <c:title>
          <c:tx>
            <c:rich>
              <a:bodyPr/>
              <a:lstStyle/>
              <a:p>
                <a:pPr>
                  <a:defRPr/>
                </a:pPr>
                <a:r>
                  <a:rPr lang="en-US"/>
                  <a:t>Silic</a:t>
                </a:r>
                <a:r>
                  <a:rPr lang="en-US" baseline="0"/>
                  <a:t> dioxit hoạt tính, kg/m3</a:t>
                </a:r>
                <a:endParaRPr lang="en-US"/>
              </a:p>
            </c:rich>
          </c:tx>
          <c:layout>
            <c:manualLayout>
              <c:xMode val="edge"/>
              <c:yMode val="edge"/>
              <c:x val="0.35689029101412301"/>
              <c:y val="0.8329779490081991"/>
            </c:manualLayout>
          </c:layout>
          <c:overlay val="0"/>
        </c:title>
        <c:numFmt formatCode="#.##0" sourceLinked="0"/>
        <c:majorTickMark val="out"/>
        <c:minorTickMark val="none"/>
        <c:tickLblPos val="nextTo"/>
        <c:spPr>
          <a:ln w="15875">
            <a:solidFill>
              <a:schemeClr val="tx1"/>
            </a:solidFill>
          </a:ln>
        </c:spPr>
        <c:crossAx val="145211568"/>
        <c:crosses val="autoZero"/>
        <c:crossBetween val="midCat"/>
        <c:majorUnit val="20"/>
      </c:valAx>
      <c:valAx>
        <c:axId val="145211568"/>
        <c:scaling>
          <c:orientation val="minMax"/>
          <c:min val="5"/>
        </c:scaling>
        <c:delete val="0"/>
        <c:axPos val="l"/>
        <c:majorGridlines/>
        <c:title>
          <c:tx>
            <c:rich>
              <a:bodyPr/>
              <a:lstStyle/>
              <a:p>
                <a:pPr>
                  <a:defRPr/>
                </a:pPr>
                <a:r>
                  <a:rPr lang="en-US"/>
                  <a:t>Cường</a:t>
                </a:r>
                <a:r>
                  <a:rPr lang="en-US" baseline="0"/>
                  <a:t> độ chịu nén, MPa</a:t>
                </a:r>
                <a:endParaRPr lang="en-US"/>
              </a:p>
            </c:rich>
          </c:tx>
          <c:overlay val="0"/>
        </c:title>
        <c:numFmt formatCode="#.##00" sourceLinked="0"/>
        <c:majorTickMark val="none"/>
        <c:minorTickMark val="none"/>
        <c:tickLblPos val="nextTo"/>
        <c:spPr>
          <a:ln w="15875">
            <a:solidFill>
              <a:schemeClr val="tx1"/>
            </a:solidFill>
          </a:ln>
        </c:spPr>
        <c:crossAx val="145210480"/>
        <c:crosses val="autoZero"/>
        <c:crossBetween val="midCat"/>
      </c:valAx>
    </c:plotArea>
    <c:legend>
      <c:legendPos val="b"/>
      <c:layout>
        <c:manualLayout>
          <c:xMode val="edge"/>
          <c:yMode val="edge"/>
          <c:x val="0"/>
          <c:y val="0.82797834557142691"/>
          <c:w val="0.39926310065054682"/>
          <c:h val="0.13458691607102594"/>
        </c:manualLayout>
      </c:layout>
      <c:overlay val="0"/>
      <c:txPr>
        <a:bodyPr/>
        <a:lstStyle/>
        <a:p>
          <a:pPr>
            <a:defRPr sz="900" baseline="0"/>
          </a:pPr>
          <a:endParaRPr lang="en-US"/>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2827</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HMDuc</dc:creator>
  <cp:lastModifiedBy>ADMIN</cp:lastModifiedBy>
  <cp:revision>25</cp:revision>
  <cp:lastPrinted>2020-12-29T09:36:00Z</cp:lastPrinted>
  <dcterms:created xsi:type="dcterms:W3CDTF">2020-11-26T02:36:00Z</dcterms:created>
  <dcterms:modified xsi:type="dcterms:W3CDTF">2020-12-29T09:36:00Z</dcterms:modified>
</cp:coreProperties>
</file>